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noProof/>
          <w:lang w:eastAsia="pl-PL"/>
        </w:rPr>
        <w:drawing>
          <wp:inline distT="0" distB="0" distL="0" distR="0" wp14:anchorId="4DBDB475" wp14:editId="01C0C2E6">
            <wp:extent cx="5760720" cy="748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04" w:rsidRPr="00AD3CAB" w:rsidRDefault="00084D58" w:rsidP="00A77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Krosno, dnia 25 </w:t>
      </w:r>
      <w:r w:rsidR="00A77804" w:rsidRPr="00AD3CAB">
        <w:rPr>
          <w:rFonts w:ascii="Times New Roman" w:hAnsi="Times New Roman" w:cs="Times New Roman"/>
          <w:sz w:val="24"/>
          <w:szCs w:val="24"/>
        </w:rPr>
        <w:t>lipca 2017 roku</w:t>
      </w: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AD3CAB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www.krosno.med.pl</w:t>
        </w:r>
      </w:hyperlink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do wszystkich uczestników postępowania</w:t>
      </w: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Default="00A77804" w:rsidP="00A7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CAB">
        <w:rPr>
          <w:rFonts w:ascii="Times New Roman" w:hAnsi="Times New Roman" w:cs="Times New Roman"/>
          <w:b/>
          <w:sz w:val="24"/>
          <w:szCs w:val="24"/>
        </w:rPr>
        <w:t xml:space="preserve">Zawiadomienie o udzieleniu wyjaśnień na zapytania Wykonawców w postępowaniu o zamówienie publiczne prowadzone w trybie przetargu nieograniczonego na zakup wraz z dostawą sprzętu i wyposażenia dla Oddziału Dziecięcego, Poradni Audiologiczno-Foniatrycznej i Pracowni Endoskopii  </w:t>
      </w:r>
      <w:r w:rsidRPr="00AD3CAB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 – nr postępowania EZ/215/54/2017</w:t>
      </w:r>
    </w:p>
    <w:p w:rsidR="00A77804" w:rsidRDefault="00A77804" w:rsidP="00A7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804" w:rsidRDefault="00A77804" w:rsidP="00A7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804" w:rsidRDefault="00A77804" w:rsidP="00A778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CAB">
        <w:rPr>
          <w:rFonts w:ascii="Times New Roman" w:hAnsi="Times New Roman" w:cs="Times New Roman"/>
          <w:sz w:val="24"/>
          <w:szCs w:val="24"/>
        </w:rPr>
        <w:t>Na zasadzie art. 38 pkt. 2 Ustawy z dnia 29 stycznia 2004 roku Prawo Zamówień Publicznych (t. j. Dz. U. 2013 poz. 907 z późn. zm.) Zamawiający nie ujawniając źródła zapytania, przekazuje treść złożonych w toku postępowania zapytań wraz z wyjaśnieniami.</w:t>
      </w: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Pytanie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1.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8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>. Czy Zamawiający dopuści unit laryngologiczny wykonany częściowo ze stali nierdzewnej, cynkowanej galwanicznie, częściowo wykonany z tworzywa sztucznego w części górnej z możliwością wyboru przez Zamawiającego dowolnego koloru z palety RAL dla wszystkich elementów stalowych z wyłączeniem elementów ze stali nierdzewnej?</w:t>
      </w:r>
    </w:p>
    <w:p w:rsidR="00A77804" w:rsidRP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81C" w:rsidRPr="00A77804" w:rsidRDefault="0015081C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Pytanie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2. 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9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>. Czy Zamawiający dopuści unit z powierzchnia z trwałego materiału odpornego na czynniki chemiczne i ścieranie, przy czym cokół od frontu wykonany częściowo z tworzywa sztucznego i częściowo ze stali nierdzewnej malowanej proszkowo odpornej na środki dezynfekcyjne oraz światło/lampy bakteriobójcze?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Pytanie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3. 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11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>. Czy Zamawiający dopuści unit o szerokości w granicach 130 – 140cm? Nadmieniamy, iż wielkość poszczególnych segmentów nie jest parametrem ograniczającym prawidłowe działania unitu laryngologicznego.</w:t>
      </w:r>
    </w:p>
    <w:p w:rsidR="00A77804" w:rsidRPr="00A77804" w:rsidRDefault="00A77804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Pytanie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4,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15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 Czy Zamawiający dopuści 3 podgrzewane kuwety?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rozwiązanie nie wpływa na funkcjonalność unitu.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Pytanie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5,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pakiet nr 1, pkt. 17.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unit wyposażony w moduł z wbudowanym wyświetlaczem typu LED  sygnalizującym błędy pracy systemem kodów cyfrowych informujących o awarii modułu na wyświetlaczu z systemem sprawdzającym poprawność działania podłączeń unitu przy każdym uruchomieniu. Dodatkowo przyciski funkcyjne pokryte są laminatem zapewniając przy tym łatwiejsze utrzymanie czystości.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6, dot. pakiet nr 1, pkt. 18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unit z panelem sterowania  wyposażonym w wyświetlacz temperatury i przyciski funkcyjne pokryty laminatem umiejscowionym z lewej strony modułu z manometrami na płycie czołowej położone poniżej panelu sterowania?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Zamawiający podtrzymuje SIWZ.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7, dot. pakiet nr 1, pkt. 19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>. Czy Zamawiający dopuści panel sterowania niezintegrowany z przestrzenią na kuwety, ale za to wyposażony w wyświetlacz temperatury i przyciski funkcyjne pokryte laminatem umiejscowionym z lewej strony modułu z manometrami na płycie czołowej położone poniżej panelu sterowania?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 xml:space="preserve">Pytanie 8, dot. </w:t>
      </w: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20</w:t>
      </w:r>
      <w:r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źródła światła LED min. 2 sztuki z płynną regulacją natężenia światła w zakresie 70 -100% mocy?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Pytanie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9,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20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źródła światła LED min. 2 sztuki bez regulacji natężenia światła?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10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21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dwupoziomowy blat bez podświetlenia LED. W gabinecie laryngologicznym jest oświetlenie pokojowe i nie istnieje potrzeba doświetlenia stanowiska narzędziowego?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>Zamawiający podtrzymuje SIWZ.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1,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22. Czy Zamawiający dopuści unit o konstrukcji uniemożliwiającej wylanie się środka dezynfekcyjnego z kuwet, co determinuje brak konieczności posiadania bezobsługowego odprowadzenie środka dezynfekującego w przypadku wydostania się powyższego poza kuwety?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2, dot.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23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nie posiadanie funkcji zabezpieczenie i informacji przy pojawianiu się wody na podłodze wewnątrz unitu?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unitu ma konstrukcję uniemożliwiającą pojawienie się wody we wnętrzu unitu. Konstrukcja ta zapewnia pełne bezpieczeństwo zarówno personelu jak i pacjenta.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3,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24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moduł z wbudowanym podgrzewaczem do lusterek bez nadmuchu lecz z funkcja utrzymywania stałej temperatury?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Podgrzewania lusterek za pomocą podmuchu w gabinetach laryngologicznych nie powinno być używane ze względu na rozprzestrzenianie się drobnoustrojów chorobotwórczych.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4, dot. pakiet nr 1, pkt 28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moduł wyposażony w śmietniczkę otwieraną i zamykaną nogą?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5, dot. pakiet nr 1, pkt 29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samozamykającą śmietniczkę bez dna demontowanego wyposażoną w uchwyt worka, który chroni wnętrze śmietniczki przed zabrudzeniem? Ponadto śmietniczka jest wysuwana w całości zapewniając przy tym nieograniczony dostęp do jej wnętrza, umożliwiając jednocześnie w pełni czyszczenie jej dna.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6, dot. pakiet nr 1, pkt 32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unit wyposażony w kuwetę z plastiku na brudne narzędzia wysuwaną z unitu?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084D5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7, dot. pakiet nr 1, pkt 34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pokrywę plastikową do kuwety na brudne narzędzia?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Proponowane rozwiązanie jest równoważne od wymaganego przez Zamawiającego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5117FF" w:rsidRPr="00511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7FF">
        <w:rPr>
          <w:rFonts w:ascii="Times New Roman" w:eastAsia="Times New Roman" w:hAnsi="Times New Roman" w:cs="Times New Roman"/>
          <w:sz w:val="24"/>
          <w:szCs w:val="24"/>
        </w:rPr>
        <w:t>Zamawiający podtrzymuje SIWZ.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8, dot. pakiet nr 1, pkt 36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uchwyt na kamerę endoskopową umocowany na stałe uniemożliwiający strącenie kamery podczas użytkowania? Stanowi większą ochronę przed uszkodzeniem elementu.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9.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37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unit ze zintegrowaną ramą do zamocowania mikroskopu?</w:t>
      </w:r>
    </w:p>
    <w:p w:rsidR="0015081C" w:rsidRPr="00A77804" w:rsidRDefault="0015081C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93BB7">
        <w:rPr>
          <w:rFonts w:ascii="Times New Roman" w:eastAsia="Times New Roman" w:hAnsi="Times New Roman" w:cs="Times New Roman"/>
          <w:sz w:val="24"/>
          <w:szCs w:val="24"/>
        </w:rPr>
        <w:t>Odpowiedź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: Tak. </w:t>
      </w: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Pytanie 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0,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39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wykreślenie tego parametru z uwagi na znikomą zasadność merytoryczną tego rozwiązania. Ponadto sygnalizujemy, iż podane rozwiązanie jest rozwiązaniem bardziej awaryjnym od mocowania nieruchomego, co może skutecznie utrudniać pracę w przypadku awarii.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>Zamawiający podtrzymuje SIWZ.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1,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40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Zamawiającego o wykreślenie parametru „urządzenie z elastyczną częścią </w:t>
      </w:r>
      <w:proofErr w:type="spellStart"/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dystalną</w:t>
      </w:r>
      <w:proofErr w:type="spellEnd"/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umożliwiającą dobranie odpowiedniego kąta do czyszczenia (ssanie/irygacja w tym samym czasie) każdej z 6 zatok przy użyciu jednego narzędzia”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Płukanie zatok nie jest czynnością praktykowaną w codziennej praktyce laryngologicznej.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>Zamawiający podtrzymuje SIWZ.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2,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43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Czy Zamawiający dopuści w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budowany system irygacji, wyposażony w elektroniczny układ sterujący podgrzewaniem i utrzymywaniem stałej temperatury wody 37°C, gwarantujący przepływ wody min. 450 ml/min?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3,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48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Czy Zamawiający dopuszcza uchwyt na butelki zintegrowany z modułem podstawowym?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Pytanie 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4, dot. pakiet nr 1, pkt 51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Czy Zamawiający dopuści medyczny procesor obrazu umożliwiający podłączenie endoskopów giętkich CMOS oferujący obraz w rozdzielczości 400x400 linii, z wbudowanym system archiwizacji min. zdjęć na pamięci wewnętrznej oraz zdjęć i filmów na nośnikach USB. Pełne menu w języku polskim. Wyjścia min.: DVI (1 sztuka), VGA (1 sztuka), USB (4 sztuki - do podłączania urządzeń peryferyjnych oraz do podłączania pamięci zewnętrznej).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Urządzenie wyposażone w sterownik nożny umożliwiający przypisanie każdemu z pedałów min. następujących funkcji: wykonanie zdjęcia, nagranie filmu, stopklatka, włączenie/wyłączenie źródła światła LED,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>Zamawiający podtrzymuje SIWZ.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5,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52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Zamawiający dopuści </w:t>
      </w:r>
      <w:proofErr w:type="spellStart"/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videoendoskop</w:t>
      </w:r>
      <w:proofErr w:type="spellEnd"/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średnicy 3,6 mm, z procesorem obrazu na końcu dystalnym endoskopu, z własnym oświetleniem typu LED podłączanym poprzez adapter do  komputera, z możliwością archiwizacji oraz obsługą oprogramowania do zbierania obrazu video oraz możliwością archiwizacji poprzez komputer/dysk twardy/USB (w dołączonym do zestawu komputerze)? 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>Zamawiający podtrzymuje SIWZ.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6,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53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Czy Zamawiający dopuszcza medyczny procesor obrazu wyposażony w głowicę kamery umożliwiającą podłączenie optyk sztywnych.  Medyczny procesor obrazu: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pełne menu w języku angielskim sterowane za pomocą przycisków funkcyjnych na froncie kamery 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 z przetwornikiem obrazu wykonany w technologii nie wykazujących cech wadliwych pikseli oraz z technologią kompensacji zaburzeń obrazu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•z natychmiastowym dostępem przez przyciski funkcyjne na konsoli do m.in. 3 użytkowników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z rejestracją zdjęć i filmów Full HD przy użyciu wbudowanego gniazda USB- oprogramowanie dedykowane do zestawu z możliwością archiwizacji 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 umożliwiający sterowanie wszystkimi funkcjami z głowicy kamery wybranymi funkcjami poprzez sterownik kamery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 możliwość „zamrożenia” i wzmocnienia obrazu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 Automatyczna migawka elektroniczna (1/50 do 1/100000) bez możliwości regulacji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Wyjścia: min. DVI, HDSDI, S-VIDEO, 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Głowica kamery: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•wyposażona w min. 2 programowalne przyciski, w tym bez możliwości zaprogramowania sterownia źródłem światła 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 Posiadająca czujnik CMOS 1/3 '', format 16: 9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 Zoom optyczny w min. zakresie 16-32mm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 Technologia skanowania progresywnego</w:t>
      </w:r>
    </w:p>
    <w:p w:rsidR="0015081C" w:rsidRPr="00A77804" w:rsidRDefault="0015081C" w:rsidP="001508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 Standard wideo HD:   1080p - 60Hz / 1080i - 60Hz</w:t>
      </w:r>
    </w:p>
    <w:p w:rsidR="0015081C" w:rsidRPr="00A77804" w:rsidRDefault="0015081C" w:rsidP="001508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DVI-D:  1080p - 60Hz (1920 x 1080)</w:t>
      </w:r>
    </w:p>
    <w:p w:rsidR="0015081C" w:rsidRPr="00A77804" w:rsidRDefault="0015081C" w:rsidP="001508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SDI:     1080i - 60Hz (1920 x 1080)</w:t>
      </w:r>
    </w:p>
    <w:p w:rsidR="0015081C" w:rsidRPr="00A77804" w:rsidRDefault="0015081C" w:rsidP="001508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S-Video/FBAS: 480 </w:t>
      </w:r>
      <w:proofErr w:type="spellStart"/>
      <w:r w:rsidRPr="00A778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A778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- 60 Hz (720 x 480)</w:t>
      </w:r>
    </w:p>
    <w:p w:rsidR="0015081C" w:rsidRPr="00A77804" w:rsidRDefault="0015081C" w:rsidP="001508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 Czułość: max. 0,1 luksów, współczynnik sygnału / hałasu: max. 46dB</w:t>
      </w:r>
    </w:p>
    <w:p w:rsidR="0015081C" w:rsidRPr="00A77804" w:rsidRDefault="0015081C" w:rsidP="001508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• Długość kabla 4 lub 6 m</w:t>
      </w:r>
    </w:p>
    <w:p w:rsidR="0015081C" w:rsidRPr="00A77804" w:rsidRDefault="0015081C" w:rsidP="001508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Wymiary </w:t>
      </w:r>
      <w:r w:rsidRPr="00A77804">
        <w:rPr>
          <w:rFonts w:ascii="Times New Roman" w:eastAsia="Times New Roman" w:hAnsi="Times New Roman" w:cs="Times New Roman"/>
          <w:sz w:val="24"/>
          <w:szCs w:val="24"/>
        </w:rPr>
        <w:t>350 mm x 76 mm x 365 mm</w:t>
      </w: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, waga: 361 g (całość), 114 g (bez przewodu)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Pytanie 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7, dot. pakiet nr 1, pkt. 57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>. Czy Zamawiający dopuści unit wyposażony w światłowód 4,8 mm z prostym (standardowym) adapterem dł. min. 180 cm?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Pytanie 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8, dot. pakiet nr 1, pkt. 58. Czy Zamawiający dopuszcza wykreślenie tego parametru ze względu na brak zasadności użytkowych?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Nie istnieje metoda polegająca na wykryciu zatoki czołowej przez światło zewnętrzne- ze względu na umiejscowienie zatoki czołowej w kości.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>Zamawiający podtrzymuje SIWZ.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ytanie 2</w:t>
      </w:r>
      <w:r w:rsidRPr="00A77804">
        <w:rPr>
          <w:rFonts w:ascii="Times New Roman" w:eastAsia="Times New Roman" w:hAnsi="Times New Roman" w:cs="Times New Roman"/>
          <w:sz w:val="24"/>
          <w:szCs w:val="24"/>
        </w:rPr>
        <w:t xml:space="preserve">9, dot. pakiet nr 1, pkt 59. Czy Zamawiający dopuszcza </w:t>
      </w:r>
      <w:proofErr w:type="spellStart"/>
      <w:r w:rsidRPr="00A778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utoklawowalną</w:t>
      </w:r>
      <w:proofErr w:type="spellEnd"/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optykę uszną 0° - Ø 4 mm, dł. robocza 40 mm, adapter typu </w:t>
      </w:r>
      <w:proofErr w:type="spellStart"/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Storz</w:t>
      </w:r>
      <w:proofErr w:type="spellEnd"/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posiadanego przez Zamawiającego wyposażenia?</w:t>
      </w:r>
    </w:p>
    <w:p w:rsidR="0015081C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>Zamawiający podtrzymuje SIWZ.</w:t>
      </w:r>
    </w:p>
    <w:p w:rsidR="00093BB7" w:rsidRDefault="00093BB7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BB7" w:rsidRPr="00A77804" w:rsidRDefault="00093BB7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Pytanie 30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, dot. pakiet nr 1, 62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Czy Zamawiający dopuszcza </w:t>
      </w:r>
      <w:proofErr w:type="spellStart"/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autoklawowlaną</w:t>
      </w:r>
      <w:proofErr w:type="spellEnd"/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optyka krtaniowa 90° - Ø 10mm, dł. robocza 195 mm, ze zdejmowalną rękojeścią,  adapter typu </w:t>
      </w:r>
      <w:proofErr w:type="spellStart"/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Storz</w:t>
      </w:r>
      <w:proofErr w:type="spellEnd"/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posiadanego przez Zamawiającego wyposażenia?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Tak. 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Py</w:t>
      </w:r>
      <w:r w:rsid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tanie 3</w:t>
      </w: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1, dot. pakiet nr 1, 63</w:t>
      </w:r>
      <w:r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Czy Zamawiający dopuszcza moduł z obudową w całości z cynkowanej galwanicznie blachy stalowej, bez powłoki z farby antybakteryjnej lecz z możliwością wyboru przez Zamawiającego dowolnego koloru z palety RAL dla wszystkich elementów stalowych z wyłączeniem elementów ze stali nierdzewnej?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Tak. 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Pytanie 3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2, dot. pakiet nr 1, 64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Czy Zamawiający dopuści moduł wykonany w tym samym designie co moduł endoskopowo-funkcjonalny; z niewielką różnicą w wysokości oraz głębokości, jak w przypadku modułu endoskopowo-funkcjonalnego?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Tak. 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Pytanie 3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3, dot. pakiet nr 1, pkt. 66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Czy Zamawiający dopuści min. 2 wysuwane szuflady oraz rozwiązanie zamiast pokrywy akrylowej roletę ze stali?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3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4,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67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dopuszcza, aby fotel pacjenta posiadał podłokietniki rozkładane niezależnie od siebie, podłokietniki i podnóżek rozkładane symultanicznie z oparciem do pozycji poziomej?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>Zamawiający podtrzymuje SIWZ.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3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5,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67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fotel pacjenta z płynną regulacją kąta odchylenia oparcia  w min. zakresie +7 do 90 stopni, z blokadą obrotu co 90 stopni, elektryczna regulacja wysokości siedziska w zakresie 50-70 cm?</w:t>
      </w:r>
    </w:p>
    <w:p w:rsidR="00A77804" w:rsidRPr="00A77804" w:rsidRDefault="0015081C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7804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tak w przypadku zachowania pozostałych parametrów.</w:t>
      </w: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1C" w:rsidRPr="00A77804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081C" w:rsidRPr="00A77804" w:rsidRDefault="00A77804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Pytanie 3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 xml:space="preserve">6, dot. 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  <w:lang w:eastAsia="ar-SA"/>
        </w:rPr>
        <w:t>pakiet nr 1, pkt. 68</w:t>
      </w:r>
      <w:r w:rsidR="0015081C" w:rsidRPr="00A77804">
        <w:rPr>
          <w:rFonts w:ascii="Times New Roman" w:eastAsia="Times New Roman" w:hAnsi="Times New Roman" w:cs="Times New Roman"/>
          <w:sz w:val="24"/>
          <w:szCs w:val="24"/>
        </w:rPr>
        <w:t>. Czy Zamawiający dopuści fotel lekarza o podanych parametrach:</w:t>
      </w:r>
    </w:p>
    <w:p w:rsidR="0015081C" w:rsidRPr="00A77804" w:rsidRDefault="0015081C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 xml:space="preserve">Wysokość siedziska: 54 - 72 cm </w:t>
      </w:r>
    </w:p>
    <w:p w:rsidR="0015081C" w:rsidRPr="00A77804" w:rsidRDefault="0015081C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 xml:space="preserve">Średnica siedziska: 40 cm </w:t>
      </w:r>
    </w:p>
    <w:p w:rsidR="0015081C" w:rsidRPr="00A77804" w:rsidRDefault="0015081C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 xml:space="preserve">Wymiary (wys. x szer. x gł.): max. 105 x 45 x 57 cm </w:t>
      </w:r>
    </w:p>
    <w:p w:rsidR="0015081C" w:rsidRPr="00A77804" w:rsidRDefault="0015081C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 xml:space="preserve">Waga: 14 kg </w:t>
      </w:r>
    </w:p>
    <w:p w:rsidR="0015081C" w:rsidRPr="00A77804" w:rsidRDefault="0015081C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 xml:space="preserve">Regulacja wysokości: manualna, pneumatyczna </w:t>
      </w:r>
    </w:p>
    <w:p w:rsidR="0015081C" w:rsidRPr="00FF25C1" w:rsidRDefault="0015081C" w:rsidP="0015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04">
        <w:rPr>
          <w:rFonts w:ascii="Times New Roman" w:eastAsia="Times New Roman" w:hAnsi="Times New Roman" w:cs="Times New Roman"/>
          <w:sz w:val="24"/>
          <w:szCs w:val="24"/>
        </w:rPr>
        <w:t>Maksymalne obciążenie: do 140 kg</w:t>
      </w:r>
    </w:p>
    <w:p w:rsidR="00A77804" w:rsidRPr="00A77804" w:rsidRDefault="00A77804" w:rsidP="00A7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1A10E1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  <w:bookmarkStart w:id="0" w:name="_GoBack"/>
      <w:bookmarkEnd w:id="0"/>
    </w:p>
    <w:p w:rsidR="00A77804" w:rsidRDefault="00A77804"/>
    <w:p w:rsidR="00A77804" w:rsidRPr="00A77804" w:rsidRDefault="0009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7804" w:rsidRPr="00A77804">
        <w:rPr>
          <w:rFonts w:ascii="Times New Roman" w:hAnsi="Times New Roman" w:cs="Times New Roman"/>
          <w:sz w:val="24"/>
          <w:szCs w:val="24"/>
        </w:rPr>
        <w:t xml:space="preserve">Z poważaniem </w:t>
      </w:r>
    </w:p>
    <w:sectPr w:rsidR="00A77804" w:rsidRPr="00A7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1C"/>
    <w:rsid w:val="00084D58"/>
    <w:rsid w:val="00093BB7"/>
    <w:rsid w:val="0015081C"/>
    <w:rsid w:val="001A10E1"/>
    <w:rsid w:val="005117FF"/>
    <w:rsid w:val="00A77804"/>
    <w:rsid w:val="00A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FA23-59F6-4B40-950F-1D16B741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2017-07-19T11:28:00Z</dcterms:created>
  <dcterms:modified xsi:type="dcterms:W3CDTF">2017-07-25T11:40:00Z</dcterms:modified>
</cp:coreProperties>
</file>