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82" w:rsidRPr="00AE02D4" w:rsidRDefault="00801D82" w:rsidP="00DD084C">
      <w:pPr>
        <w:rPr>
          <w:lang w:eastAsia="hi-IN" w:bidi="hi-IN"/>
        </w:rPr>
      </w:pPr>
      <w:r w:rsidRPr="00AE02D4">
        <w:rPr>
          <w:lang w:eastAsia="hi-IN" w:bidi="hi-IN"/>
        </w:rPr>
        <w:t xml:space="preserve">Wojewódzki Szpital Podkarpacki </w:t>
      </w:r>
    </w:p>
    <w:p w:rsidR="00801D82" w:rsidRPr="00AE02D4" w:rsidRDefault="00801D82" w:rsidP="00DD084C">
      <w:pPr>
        <w:rPr>
          <w:lang w:eastAsia="hi-IN" w:bidi="hi-IN"/>
        </w:rPr>
      </w:pPr>
      <w:r w:rsidRPr="00AE02D4">
        <w:rPr>
          <w:lang w:eastAsia="hi-IN" w:bidi="hi-IN"/>
        </w:rPr>
        <w:t>im. Jana Pawła II w Krośnie</w:t>
      </w:r>
    </w:p>
    <w:p w:rsidR="00801D82" w:rsidRPr="00AE02D4" w:rsidRDefault="00801D82" w:rsidP="00DD084C">
      <w:pPr>
        <w:rPr>
          <w:lang w:eastAsia="hi-IN" w:bidi="hi-IN"/>
        </w:rPr>
      </w:pPr>
      <w:r w:rsidRPr="00AE02D4">
        <w:rPr>
          <w:lang w:eastAsia="hi-IN" w:bidi="hi-IN"/>
        </w:rPr>
        <w:t>38-400 Krosno, ul. Korczyńska 57</w:t>
      </w:r>
    </w:p>
    <w:p w:rsidR="00801D82" w:rsidRPr="00AE02D4" w:rsidRDefault="00801D82" w:rsidP="00DD084C">
      <w:pPr>
        <w:rPr>
          <w:lang w:eastAsia="hi-IN" w:bidi="hi-IN"/>
        </w:rPr>
      </w:pPr>
      <w:r w:rsidRPr="00AE02D4">
        <w:rPr>
          <w:lang w:eastAsia="hi-IN" w:bidi="hi-IN"/>
        </w:rPr>
        <w:t>Dział zamówień publicznych i zaopatrzenia</w:t>
      </w:r>
    </w:p>
    <w:p w:rsidR="00801D82" w:rsidRPr="00AE02D4" w:rsidRDefault="00801D82" w:rsidP="00DD084C">
      <w:pPr>
        <w:rPr>
          <w:lang w:eastAsia="hi-IN" w:bidi="hi-IN"/>
        </w:rPr>
      </w:pPr>
      <w:r w:rsidRPr="00AE02D4">
        <w:rPr>
          <w:lang w:eastAsia="hi-IN" w:bidi="hi-IN"/>
        </w:rPr>
        <w:t xml:space="preserve">Tel. 13-43-78-215 , 13-43-78-497 </w:t>
      </w:r>
    </w:p>
    <w:p w:rsidR="00801D82" w:rsidRPr="00AE02D4" w:rsidRDefault="00801D82" w:rsidP="00DD084C">
      <w:pPr>
        <w:rPr>
          <w:lang w:eastAsia="hi-IN" w:bidi="hi-IN"/>
        </w:rPr>
      </w:pPr>
      <w:r w:rsidRPr="00AE02D4">
        <w:rPr>
          <w:lang w:eastAsia="hi-IN" w:bidi="hi-IN"/>
        </w:rPr>
        <w:t xml:space="preserve">NIP 684-21-20-222, Regon 000308620 </w:t>
      </w:r>
    </w:p>
    <w:p w:rsidR="00801D82" w:rsidRPr="00AE02D4" w:rsidRDefault="00801D82" w:rsidP="00DD084C">
      <w:pPr>
        <w:rPr>
          <w:lang w:eastAsia="hi-IN" w:bidi="hi-IN"/>
        </w:rPr>
      </w:pPr>
    </w:p>
    <w:p w:rsidR="00801D82" w:rsidRPr="00AE02D4" w:rsidRDefault="00801D82" w:rsidP="00DD084C">
      <w:pPr>
        <w:rPr>
          <w:lang w:eastAsia="hi-IN" w:bidi="hi-IN"/>
        </w:rPr>
      </w:pPr>
      <w:r w:rsidRPr="00AE02D4">
        <w:rPr>
          <w:lang w:eastAsia="hi-IN" w:bidi="hi-IN"/>
        </w:rPr>
        <w:tab/>
      </w:r>
      <w:r w:rsidRPr="00AE02D4">
        <w:rPr>
          <w:lang w:eastAsia="hi-IN" w:bidi="hi-IN"/>
        </w:rPr>
        <w:tab/>
      </w:r>
      <w:r w:rsidRPr="00AE02D4">
        <w:rPr>
          <w:lang w:eastAsia="hi-IN" w:bidi="hi-IN"/>
        </w:rPr>
        <w:tab/>
      </w:r>
      <w:r w:rsidRPr="00AE02D4">
        <w:rPr>
          <w:lang w:eastAsia="hi-IN" w:bidi="hi-IN"/>
        </w:rPr>
        <w:tab/>
      </w:r>
      <w:r w:rsidRPr="00AE02D4">
        <w:rPr>
          <w:lang w:eastAsia="hi-IN" w:bidi="hi-IN"/>
        </w:rPr>
        <w:tab/>
      </w:r>
      <w:r w:rsidRPr="00AE02D4">
        <w:rPr>
          <w:lang w:eastAsia="hi-IN" w:bidi="hi-IN"/>
        </w:rPr>
        <w:tab/>
      </w:r>
      <w:r w:rsidRPr="00AE02D4">
        <w:rPr>
          <w:lang w:eastAsia="hi-IN" w:bidi="hi-IN"/>
        </w:rPr>
        <w:tab/>
      </w:r>
      <w:r w:rsidRPr="00AE02D4">
        <w:rPr>
          <w:lang w:eastAsia="hi-IN" w:bidi="hi-IN"/>
        </w:rPr>
        <w:tab/>
        <w:t xml:space="preserve">Krosno, dnia </w:t>
      </w:r>
      <w:r w:rsidR="00535C22" w:rsidRPr="00AE02D4">
        <w:rPr>
          <w:lang w:eastAsia="hi-IN" w:bidi="hi-IN"/>
        </w:rPr>
        <w:t>01</w:t>
      </w:r>
      <w:r w:rsidRPr="00AE02D4">
        <w:rPr>
          <w:lang w:eastAsia="hi-IN" w:bidi="hi-IN"/>
        </w:rPr>
        <w:t>.</w:t>
      </w:r>
      <w:r w:rsidR="00535C22" w:rsidRPr="00AE02D4">
        <w:rPr>
          <w:lang w:eastAsia="hi-IN" w:bidi="hi-IN"/>
        </w:rPr>
        <w:t>06</w:t>
      </w:r>
      <w:r w:rsidRPr="00AE02D4">
        <w:rPr>
          <w:lang w:eastAsia="hi-IN" w:bidi="hi-IN"/>
        </w:rPr>
        <w:t>.2015</w:t>
      </w:r>
    </w:p>
    <w:p w:rsidR="00801D82" w:rsidRPr="00AE02D4" w:rsidRDefault="00801D82" w:rsidP="00DD084C">
      <w:pPr>
        <w:rPr>
          <w:lang w:eastAsia="hi-IN" w:bidi="hi-IN"/>
        </w:rPr>
      </w:pPr>
    </w:p>
    <w:p w:rsidR="00801D82" w:rsidRPr="00AE02D4" w:rsidRDefault="00801D82" w:rsidP="00DD084C">
      <w:pPr>
        <w:rPr>
          <w:lang w:eastAsia="hi-IN" w:bidi="hi-IN"/>
        </w:rPr>
      </w:pPr>
      <w:r w:rsidRPr="00AE02D4">
        <w:rPr>
          <w:lang w:eastAsia="hi-IN" w:bidi="hi-IN"/>
        </w:rPr>
        <w:t xml:space="preserve">Do wszystkich uczestników postępowania </w:t>
      </w:r>
    </w:p>
    <w:p w:rsidR="00801D82" w:rsidRPr="00AE02D4" w:rsidRDefault="00801D82" w:rsidP="00DD084C">
      <w:pPr>
        <w:rPr>
          <w:rFonts w:eastAsia="Lucida Sans Unicode"/>
          <w:lang w:eastAsia="hi-IN" w:bidi="hi-IN"/>
        </w:rPr>
      </w:pPr>
      <w:r w:rsidRPr="00AE02D4">
        <w:rPr>
          <w:rFonts w:eastAsia="Lucida Sans Unicode"/>
          <w:lang w:eastAsia="hi-IN" w:bidi="hi-IN"/>
        </w:rPr>
        <w:t xml:space="preserve"> </w:t>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r>
      <w:r w:rsidRPr="00AE02D4">
        <w:rPr>
          <w:rFonts w:eastAsia="Lucida Sans Unicode"/>
          <w:lang w:eastAsia="hi-IN" w:bidi="hi-IN"/>
        </w:rPr>
        <w:tab/>
        <w:t xml:space="preserve"> (</w:t>
      </w:r>
      <w:hyperlink r:id="rId8" w:history="1">
        <w:r w:rsidRPr="00AE02D4">
          <w:rPr>
            <w:rFonts w:eastAsia="Lucida Sans Unicode"/>
            <w:color w:val="0000FF"/>
            <w:u w:val="single"/>
            <w:lang w:eastAsia="hi-IN" w:bidi="hi-IN"/>
          </w:rPr>
          <w:t>www.krosno.med.pl</w:t>
        </w:r>
      </w:hyperlink>
      <w:r w:rsidRPr="00AE02D4">
        <w:rPr>
          <w:rFonts w:eastAsia="Lucida Sans Unicode"/>
          <w:lang w:eastAsia="hi-IN" w:bidi="hi-IN"/>
        </w:rPr>
        <w:t>)</w:t>
      </w:r>
    </w:p>
    <w:p w:rsidR="003D7D61" w:rsidRPr="00AE02D4" w:rsidRDefault="005857E5" w:rsidP="00DD084C">
      <w:pPr>
        <w:rPr>
          <w:lang w:eastAsia="hi-IN" w:bidi="hi-IN"/>
        </w:rPr>
      </w:pPr>
      <w:r w:rsidRPr="00AE02D4">
        <w:rPr>
          <w:lang w:eastAsia="hi-IN" w:bidi="hi-IN"/>
        </w:rPr>
        <w:tab/>
      </w:r>
    </w:p>
    <w:p w:rsidR="00801D82" w:rsidRPr="00AE02D4" w:rsidRDefault="00801D82" w:rsidP="00DD084C">
      <w:pPr>
        <w:rPr>
          <w:bCs/>
        </w:rPr>
      </w:pPr>
      <w:r w:rsidRPr="00AE02D4">
        <w:rPr>
          <w:rFonts w:eastAsia="Lucida Sans Unicode"/>
          <w:kern w:val="1"/>
          <w:lang w:eastAsia="hi-IN" w:bidi="hi-IN"/>
        </w:rPr>
        <w:t>Zawiadomienie o udzieleniu wyjaśnień na zapytania wykonawców w postepowaniu na</w:t>
      </w:r>
      <w:r w:rsidR="00535C22" w:rsidRPr="00AE02D4">
        <w:t xml:space="preserve"> usługa serwisowa tomografu komputerowego GE </w:t>
      </w:r>
      <w:proofErr w:type="spellStart"/>
      <w:r w:rsidR="00535C22" w:rsidRPr="00AE02D4">
        <w:t>BrightSpeed</w:t>
      </w:r>
      <w:proofErr w:type="spellEnd"/>
      <w:r w:rsidR="00535C22" w:rsidRPr="00AE02D4">
        <w:t xml:space="preserve"> 16 wraz z dwoma stacjami AW 4.6 oraz strzykawką </w:t>
      </w:r>
      <w:proofErr w:type="spellStart"/>
      <w:r w:rsidR="00535C22" w:rsidRPr="00AE02D4">
        <w:t>Nemoto</w:t>
      </w:r>
      <w:proofErr w:type="spellEnd"/>
      <w:r w:rsidR="00535C22" w:rsidRPr="00AE02D4">
        <w:t xml:space="preserve"> Dual </w:t>
      </w:r>
      <w:proofErr w:type="spellStart"/>
      <w:r w:rsidR="00535C22" w:rsidRPr="00AE02D4">
        <w:t>Shot</w:t>
      </w:r>
      <w:proofErr w:type="spellEnd"/>
      <w:r w:rsidR="00535C22" w:rsidRPr="00AE02D4">
        <w:t xml:space="preserve"> </w:t>
      </w:r>
      <w:proofErr w:type="spellStart"/>
      <w:r w:rsidR="00535C22" w:rsidRPr="00AE02D4">
        <w:t>Alpha</w:t>
      </w:r>
      <w:proofErr w:type="spellEnd"/>
      <w:r w:rsidR="00535C22" w:rsidRPr="00AE02D4">
        <w:t>., nr</w:t>
      </w:r>
      <w:r w:rsidRPr="00AE02D4">
        <w:rPr>
          <w:lang w:eastAsia="ar-SA" w:bidi="pl-PL"/>
        </w:rPr>
        <w:t xml:space="preserve"> - EZ/215/</w:t>
      </w:r>
      <w:r w:rsidR="00535C22" w:rsidRPr="00AE02D4">
        <w:rPr>
          <w:lang w:eastAsia="ar-SA" w:bidi="pl-PL"/>
        </w:rPr>
        <w:t>54</w:t>
      </w:r>
      <w:r w:rsidRPr="00AE02D4">
        <w:rPr>
          <w:lang w:eastAsia="ar-SA" w:bidi="pl-PL"/>
        </w:rPr>
        <w:t>/2015</w:t>
      </w:r>
      <w:r w:rsidRPr="00AE02D4">
        <w:rPr>
          <w:lang w:bidi="pl-PL"/>
        </w:rPr>
        <w:t>.</w:t>
      </w:r>
    </w:p>
    <w:p w:rsidR="00801D82" w:rsidRPr="00AE02D4" w:rsidRDefault="005857E5" w:rsidP="00DD084C">
      <w:pPr>
        <w:rPr>
          <w:lang w:eastAsia="hi-IN" w:bidi="hi-IN"/>
        </w:rPr>
      </w:pPr>
      <w:r w:rsidRPr="00AE02D4">
        <w:rPr>
          <w:lang w:eastAsia="hi-IN" w:bidi="hi-IN"/>
        </w:rPr>
        <w:tab/>
      </w:r>
      <w:r w:rsidR="00801D82" w:rsidRPr="00AE02D4">
        <w:rPr>
          <w:lang w:eastAsia="hi-IN" w:bidi="hi-IN"/>
        </w:rPr>
        <w:t xml:space="preserve">Na zasadzie art. 38 pkt. 2 Ustawy z dnia 29 stycznia 2004 roku Prawo Zamówień Publicznych (t. j. Dz. U. 2013 poz. 907 z </w:t>
      </w:r>
      <w:proofErr w:type="spellStart"/>
      <w:r w:rsidR="00801D82" w:rsidRPr="00AE02D4">
        <w:rPr>
          <w:lang w:eastAsia="hi-IN" w:bidi="hi-IN"/>
        </w:rPr>
        <w:t>późn</w:t>
      </w:r>
      <w:proofErr w:type="spellEnd"/>
      <w:r w:rsidR="00801D82" w:rsidRPr="00AE02D4">
        <w:rPr>
          <w:lang w:eastAsia="hi-IN" w:bidi="hi-IN"/>
        </w:rPr>
        <w:t>. zm.) Zamawiający nie ujawniając źródła zapytania, przekazuje treść złożonych w toku postępowania zapytań wraz z wyjaśnieniami.</w:t>
      </w:r>
    </w:p>
    <w:p w:rsidR="006A3C4B" w:rsidRPr="00AE02D4" w:rsidRDefault="006A3C4B" w:rsidP="00DD084C"/>
    <w:p w:rsidR="00535C22" w:rsidRPr="00E20163" w:rsidRDefault="00535C22" w:rsidP="00DD084C">
      <w:r w:rsidRPr="00E20163">
        <w:t>Pytanie 1.</w:t>
      </w:r>
    </w:p>
    <w:p w:rsidR="00535C22" w:rsidRPr="00AE02D4" w:rsidRDefault="00535C22" w:rsidP="00DD084C">
      <w:r w:rsidRPr="00AE02D4">
        <w:t>W punkcie nr</w:t>
      </w:r>
      <w:r w:rsidR="005857E5" w:rsidRPr="00AE02D4">
        <w:t xml:space="preserve"> </w:t>
      </w:r>
      <w:r w:rsidRPr="00AE02D4">
        <w:t xml:space="preserve">II. 2) Warunków udziału w postępowaniu w SIWZ Zamawiający wymaga aby Wykonawca wykazał, że dysponuje osobami posiadającymi odpowiednie kwalifikacje i doświadczenie zawodowe zgodnie z Ustawą o wyrobach medycznych z dnia 20 maja 2010r.. Prosimy o potwierdzenie, że zgodnie z powyższym wymogiem, Zamawiający w pkt II. 3) – </w:t>
      </w:r>
      <w:r w:rsidRPr="00AE02D4">
        <w:rPr>
          <w:i/>
        </w:rPr>
        <w:t xml:space="preserve">Informacja o oświadczeniach i/lub dokumentach jakie Wykonawca ma dostarczyć w celu wykazania spełniania warunków, </w:t>
      </w:r>
      <w:r w:rsidRPr="00AE02D4">
        <w:t xml:space="preserve">wymaga od Wykonawcy dołączenia do oferty certyfikaty osób wymienionych w wykazie osób, wystawione przez producenta tomografu komputerowego GE </w:t>
      </w:r>
      <w:proofErr w:type="spellStart"/>
      <w:r w:rsidRPr="00AE02D4">
        <w:t>Brightspeed</w:t>
      </w:r>
      <w:proofErr w:type="spellEnd"/>
      <w:r w:rsidRPr="00AE02D4">
        <w:t xml:space="preserve"> 16 potwierdzające odbycie szkoleń z zakresu obsługi serwisowej tomografu komputerowego GE </w:t>
      </w:r>
      <w:proofErr w:type="spellStart"/>
      <w:r w:rsidRPr="00AE02D4">
        <w:t>Brightspeed</w:t>
      </w:r>
      <w:proofErr w:type="spellEnd"/>
      <w:r w:rsidRPr="00AE02D4">
        <w:t xml:space="preserve"> 16.</w:t>
      </w:r>
    </w:p>
    <w:p w:rsidR="00535C22" w:rsidRPr="00E20163" w:rsidRDefault="00E700FA" w:rsidP="00DD084C">
      <w:r w:rsidRPr="00E20163">
        <w:t>Odpowiedź:</w:t>
      </w:r>
    </w:p>
    <w:p w:rsidR="00E700FA" w:rsidRPr="00E20163" w:rsidRDefault="006A65DF" w:rsidP="00DD084C">
      <w:r w:rsidRPr="00E20163">
        <w:t xml:space="preserve">Zgodnie z wyrokiem Krajowej Izby Odwoławczej z dnia 11.06.2012r/ sygnatura KIO  1073/12 „przepisy art. 90 ust. 4 i ustawy z 2010r. o wyrobach medycznych są adresowane  do podmiotów dokonujących wprowadzenia wyrobów medycznych do obrotu. Ustawa nie  określa, że działania serwisowe mogą wykonywać jedynie podmioty autoryzowane przez  wytwórcę” (publikacja : LEX nr 1170729). Wobec powyższego Zamawiający nie wymaga  dołączenia do oferty dodatkowych dokumentów niż określa w S.I.W.Z.  </w:t>
      </w:r>
    </w:p>
    <w:p w:rsidR="00AE02D4" w:rsidRPr="00AE02D4" w:rsidRDefault="00AE02D4" w:rsidP="00DD084C"/>
    <w:p w:rsidR="00E700FA" w:rsidRPr="00E20163" w:rsidRDefault="00535C22" w:rsidP="00DD084C">
      <w:r w:rsidRPr="00E20163">
        <w:t>Pytanie 2</w:t>
      </w:r>
      <w:r w:rsidR="00E700FA" w:rsidRPr="00E20163">
        <w:t>.</w:t>
      </w:r>
    </w:p>
    <w:p w:rsidR="00AE02D4" w:rsidRDefault="006A65DF" w:rsidP="00DD084C">
      <w:pPr>
        <w:rPr>
          <w:lang w:eastAsia="en-US"/>
        </w:rPr>
      </w:pPr>
      <w:r w:rsidRPr="00AE02D4">
        <w:rPr>
          <w:lang w:eastAsia="en-US"/>
        </w:rPr>
        <w:tab/>
      </w:r>
      <w:r w:rsidR="00535C22" w:rsidRPr="00AE02D4">
        <w:rPr>
          <w:lang w:eastAsia="en-US"/>
        </w:rPr>
        <w:t xml:space="preserve">Czy Zamawiający wyrazi zgodę na rozszerzenie katalogu dokumentów potwierdzających spełnienie warunków udziału o autoryzację na świadczenie usług serwisowych tomografu komputerowego GE </w:t>
      </w:r>
      <w:proofErr w:type="spellStart"/>
      <w:r w:rsidR="00535C22" w:rsidRPr="00AE02D4">
        <w:rPr>
          <w:lang w:eastAsia="en-US"/>
        </w:rPr>
        <w:t>Brightspeed</w:t>
      </w:r>
      <w:proofErr w:type="spellEnd"/>
      <w:r w:rsidR="00535C22" w:rsidRPr="00AE02D4">
        <w:rPr>
          <w:lang w:eastAsia="en-US"/>
        </w:rPr>
        <w:t xml:space="preserve"> 16</w:t>
      </w:r>
      <w:r w:rsidR="005857E5" w:rsidRPr="00AE02D4">
        <w:rPr>
          <w:lang w:eastAsia="en-US"/>
        </w:rPr>
        <w:t xml:space="preserve"> </w:t>
      </w:r>
      <w:r w:rsidR="00535C22" w:rsidRPr="00AE02D4">
        <w:rPr>
          <w:lang w:eastAsia="en-US"/>
        </w:rPr>
        <w:t xml:space="preserve">na terenie Rzeczypospolitej Polskiej potwierdzone odpowiednim dokumentem wystawionym przez producenta tomografu komputerowego GE </w:t>
      </w:r>
      <w:proofErr w:type="spellStart"/>
      <w:r w:rsidR="00535C22" w:rsidRPr="00AE02D4">
        <w:rPr>
          <w:lang w:eastAsia="en-US"/>
        </w:rPr>
        <w:t>Brightspeed</w:t>
      </w:r>
      <w:proofErr w:type="spellEnd"/>
      <w:r w:rsidR="00535C22" w:rsidRPr="00AE02D4">
        <w:rPr>
          <w:lang w:eastAsia="en-US"/>
        </w:rPr>
        <w:t xml:space="preserve"> 16?</w:t>
      </w:r>
    </w:p>
    <w:p w:rsidR="00535C22" w:rsidRPr="00AE02D4" w:rsidRDefault="00AE02D4" w:rsidP="00DD084C">
      <w:pPr>
        <w:rPr>
          <w:lang w:eastAsia="en-US"/>
        </w:rPr>
      </w:pPr>
      <w:r>
        <w:rPr>
          <w:lang w:eastAsia="en-US"/>
        </w:rPr>
        <w:lastRenderedPageBreak/>
        <w:tab/>
      </w:r>
      <w:r w:rsidR="00535C22" w:rsidRPr="00AE02D4">
        <w:rPr>
          <w:lang w:eastAsia="en-US"/>
        </w:rPr>
        <w:t xml:space="preserve">Wymóg ten jest zgodny i zalecany w art. 90 Ustawy o Wyrobach Medycznych (Dz. U. z 2010r. Nr 107, poz. 679, i Dz. U. z 2011 r. Nr 102, poz. 586, Nr 113, poz. 657). Jednocześnie nadmieniamy, iż w/w wymóg nie stoi na sprzeczności z podstawowymi zasadami udzielania zamówień publicznych (art. 7 ustawy </w:t>
      </w:r>
      <w:proofErr w:type="spellStart"/>
      <w:r w:rsidR="00535C22" w:rsidRPr="00AE02D4">
        <w:rPr>
          <w:lang w:eastAsia="en-US"/>
        </w:rPr>
        <w:t>pzp</w:t>
      </w:r>
      <w:proofErr w:type="spellEnd"/>
      <w:r w:rsidR="00535C22" w:rsidRPr="00AE02D4">
        <w:rPr>
          <w:lang w:eastAsia="en-US"/>
        </w:rPr>
        <w:t>) dlatego, że każdy podmiot na rynku może ubiegać się o uzyskanie autoryzacji na świadczenie usług serwisowych, która potwierdza standardy profesjonalnej obsługi serwisowej zapewniającej maksymalne bezpieczeństwo pacjentów oraz personelu medycznego.</w:t>
      </w:r>
    </w:p>
    <w:p w:rsidR="00E700FA" w:rsidRPr="00E20163" w:rsidRDefault="00E700FA" w:rsidP="00DD084C">
      <w:r w:rsidRPr="00E20163">
        <w:t>Odpowiedź:</w:t>
      </w:r>
    </w:p>
    <w:p w:rsidR="00535C22" w:rsidRPr="00E20163" w:rsidRDefault="006A65DF" w:rsidP="00DD084C">
      <w:pPr>
        <w:pStyle w:val="Akapitzlist"/>
      </w:pPr>
      <w:r w:rsidRPr="00E20163">
        <w:t xml:space="preserve">Zgodnie z wyrokiem Krajowej Izby Odwoławczej z dnia 11.06.2012r/ sygnatura KIO  1073/12 „przepisy art. 90 ust. 4 i ustawy z 2010r. o wyrobach medycznych są adresowane  do podmiotów dokonujących wprowadzenia wyrobów medycznych do obrotu. Ustawa nie  określa, że działania serwisowe mogą wykonywać jedynie podmioty autoryzowane przez  wytwórcę” (publikacja : LEX nr 1170729). Wobec powyższego Zamawiający nie wymaga  dołączenia do oferty dodatkowych dokumentów niż określa w S.I.W.Z.  </w:t>
      </w:r>
    </w:p>
    <w:p w:rsidR="006A65DF" w:rsidRPr="00AE02D4" w:rsidRDefault="006A65DF" w:rsidP="00DD084C">
      <w:pPr>
        <w:pStyle w:val="Akapitzlist"/>
      </w:pPr>
    </w:p>
    <w:p w:rsidR="00535C22" w:rsidRPr="00E20163" w:rsidRDefault="00535C22" w:rsidP="00DD084C">
      <w:pPr>
        <w:pStyle w:val="Akapitzlist"/>
      </w:pPr>
      <w:r w:rsidRPr="00E20163">
        <w:t>Pytanie 3.</w:t>
      </w:r>
    </w:p>
    <w:p w:rsidR="00535C22" w:rsidRPr="00AE02D4" w:rsidRDefault="00535C22" w:rsidP="00DD084C">
      <w:r w:rsidRPr="00AE02D4">
        <w:t xml:space="preserve">Dotyczy §5 ust.1 pkt 2 wzoru umowy </w:t>
      </w:r>
    </w:p>
    <w:p w:rsidR="00535C22" w:rsidRPr="00AE02D4" w:rsidRDefault="00535C22" w:rsidP="00DD084C">
      <w:r w:rsidRPr="00AE02D4">
        <w:t>Zastrzeżenie kary umownej powinno odnosić się tylko do określonych, zindywidualizowanych postaci nienależytego wykonania</w:t>
      </w:r>
      <w:r w:rsidR="005857E5" w:rsidRPr="00AE02D4">
        <w:t xml:space="preserve"> umowy. Naszym zdaniem zawarcie </w:t>
      </w:r>
      <w:r w:rsidRPr="00AE02D4">
        <w:t>w umowie ogólnej klauzuli "nienależytego wykonania umowy" definiuje zbyt szeroko zbiór przypadków, który umożliwiałby naliczenie kary umownej, w rezultacie prowadząc do naruszenia równowagi stron. W interesie obu stron leży prawidłowe wykonanie przedmiotu umowy, a zastrzeżenie kar umownych ma na celu słuszne zdyscyplinowanie Wykonawcy, a nie wzbogacenie Zamawiającego. Pozostałe zapisy w sposób wystarczający chronią interes Zamawiającego. W związku z tym prosimy o następującą modyfikację:</w:t>
      </w:r>
    </w:p>
    <w:p w:rsidR="00535C22" w:rsidRPr="00AE02D4" w:rsidRDefault="00535C22" w:rsidP="00DD084C">
      <w:r w:rsidRPr="00AE02D4">
        <w:t>„2) w przypadku niewykonania umowy w wysokości 20% wartości umowy wskazanej w § 1</w:t>
      </w:r>
      <w:r w:rsidRPr="00AE02D4">
        <w:rPr>
          <w:b/>
          <w:bCs/>
        </w:rPr>
        <w:t xml:space="preserve"> </w:t>
      </w:r>
      <w:r w:rsidRPr="00AE02D4">
        <w:t>(nie mniejszej niż 20 zł.)”,</w:t>
      </w:r>
    </w:p>
    <w:p w:rsidR="00E700FA" w:rsidRPr="00E20163" w:rsidRDefault="00E700FA" w:rsidP="00DD084C">
      <w:r w:rsidRPr="00E20163">
        <w:t>Odpowiedź:</w:t>
      </w:r>
    </w:p>
    <w:p w:rsidR="00535C22" w:rsidRPr="00E20163" w:rsidRDefault="00E700FA" w:rsidP="00DD084C">
      <w:pPr>
        <w:pStyle w:val="Akapitzlist"/>
      </w:pPr>
      <w:r w:rsidRPr="00E20163">
        <w:t>Zamawiający dokonuje modyfikacji wzoru umowy w §5 ust.1 pkt 2</w:t>
      </w:r>
      <w:r w:rsidR="00A41A09" w:rsidRPr="00E20163">
        <w:t>.</w:t>
      </w:r>
    </w:p>
    <w:p w:rsidR="00E700FA" w:rsidRPr="00AE02D4" w:rsidRDefault="00E700FA" w:rsidP="00DD084C">
      <w:pPr>
        <w:pStyle w:val="Akapitzlist"/>
      </w:pPr>
    </w:p>
    <w:p w:rsidR="00535C22" w:rsidRPr="00AE02D4" w:rsidRDefault="00535C22" w:rsidP="00DD084C">
      <w:pPr>
        <w:pStyle w:val="Akapitzlist"/>
      </w:pPr>
      <w:r w:rsidRPr="00AE02D4">
        <w:t>Pytanie 4.</w:t>
      </w:r>
    </w:p>
    <w:p w:rsidR="00535C22" w:rsidRPr="00AE02D4" w:rsidRDefault="00535C22" w:rsidP="00DD084C">
      <w:r w:rsidRPr="00AE02D4">
        <w:t xml:space="preserve">Czy Zamawiający potwierdza, iż wymaga aby oferowana lampa była lampą oryginalną oraz żeby była możliwa do instalacji bez modyfikacji jakiegokolwiek elementu systemu aparatu, również jego interfejsu tzn. jest wykluczona sytuacja aby po zainstalowaniu oferowanej lampy system wyświetlał jakiekolwiek ostrzeżenia i zachowywał się w sposób inny od sytuacji kiedy w aparacie jest zainstalowana lampa oryginalna, zgodna z pierwotną konfiguracją tomografu komputerowego </w:t>
      </w:r>
      <w:proofErr w:type="spellStart"/>
      <w:r w:rsidRPr="00AE02D4">
        <w:t>BrightSpeed</w:t>
      </w:r>
      <w:proofErr w:type="spellEnd"/>
      <w:r w:rsidRPr="00AE02D4">
        <w:t xml:space="preserve"> oraz jest wykluczona sytuacja aby Wykonawca zmodyfikował oprogramowanie aparatu tak aby np. takie ostrzeżenie nie było wyświetlane.</w:t>
      </w:r>
    </w:p>
    <w:p w:rsidR="00FE3438" w:rsidRPr="00E20163" w:rsidRDefault="00FE3438" w:rsidP="00DD084C">
      <w:r w:rsidRPr="00E20163">
        <w:t>Odpowiedź:</w:t>
      </w:r>
    </w:p>
    <w:p w:rsidR="00E575DC" w:rsidRPr="00E20163" w:rsidRDefault="00600E97" w:rsidP="00DD084C">
      <w:r w:rsidRPr="00E20163">
        <w:t xml:space="preserve">Tak wymaga.  </w:t>
      </w:r>
    </w:p>
    <w:p w:rsidR="00535C22" w:rsidRPr="00AE02D4" w:rsidRDefault="00535C22" w:rsidP="00DD084C"/>
    <w:p w:rsidR="00AE02D4" w:rsidRDefault="00AE02D4" w:rsidP="00DD084C">
      <w:pPr>
        <w:pStyle w:val="Akapitzlist"/>
      </w:pPr>
    </w:p>
    <w:p w:rsidR="00AE02D4" w:rsidRDefault="00AE02D4" w:rsidP="00DD084C">
      <w:pPr>
        <w:pStyle w:val="Akapitzlist"/>
      </w:pPr>
    </w:p>
    <w:p w:rsidR="00AE02D4" w:rsidRDefault="00AE02D4" w:rsidP="00DD084C">
      <w:pPr>
        <w:pStyle w:val="Akapitzlist"/>
      </w:pPr>
    </w:p>
    <w:p w:rsidR="00535C22" w:rsidRPr="00E20163" w:rsidRDefault="00535C22" w:rsidP="00DD084C">
      <w:pPr>
        <w:pStyle w:val="Akapitzlist"/>
      </w:pPr>
      <w:r w:rsidRPr="00E20163">
        <w:lastRenderedPageBreak/>
        <w:t>Pytanie 5.</w:t>
      </w:r>
    </w:p>
    <w:p w:rsidR="00535C22" w:rsidRPr="00AE02D4" w:rsidRDefault="00535C22" w:rsidP="00DD084C">
      <w:r w:rsidRPr="00AE02D4">
        <w:t>Czy Zamawiający, biorąc pod uwagę ilość badań wykonywanych na tomografie, przewiduje możliwość wymiany dwóch lamp w okresie trwania umowy?</w:t>
      </w:r>
    </w:p>
    <w:p w:rsidR="00FE3438" w:rsidRPr="00E20163" w:rsidRDefault="00FE3438" w:rsidP="00DD084C">
      <w:r w:rsidRPr="00E20163">
        <w:t>Odpowiedź:</w:t>
      </w:r>
    </w:p>
    <w:p w:rsidR="00023E20" w:rsidRPr="00E20163" w:rsidRDefault="00023E20" w:rsidP="00DD084C">
      <w:r w:rsidRPr="00E20163">
        <w:t xml:space="preserve">Zgodnie z treścią załącznika nr 2 </w:t>
      </w:r>
      <w:r w:rsidR="008E344E" w:rsidRPr="00E20163">
        <w:t xml:space="preserve">do SIWZ </w:t>
      </w:r>
      <w:r w:rsidRPr="00E20163">
        <w:t xml:space="preserve">pozycja nr 4 po modyfikacji z dnia 02 czerwca 2015 roku.  </w:t>
      </w:r>
    </w:p>
    <w:p w:rsidR="00535C22" w:rsidRPr="00AE02D4" w:rsidRDefault="006A3C4B" w:rsidP="00DD084C">
      <w:r w:rsidRPr="00AE02D4">
        <w:tab/>
      </w:r>
      <w:r w:rsidRPr="00AE02D4">
        <w:tab/>
      </w:r>
      <w:r w:rsidRPr="00AE02D4">
        <w:tab/>
      </w:r>
      <w:r w:rsidRPr="00AE02D4">
        <w:tab/>
      </w:r>
      <w:r w:rsidRPr="00AE02D4">
        <w:tab/>
      </w:r>
      <w:r w:rsidRPr="00AE02D4">
        <w:tab/>
      </w:r>
      <w:r w:rsidRPr="00AE02D4">
        <w:tab/>
      </w:r>
    </w:p>
    <w:p w:rsidR="00535C22" w:rsidRPr="00AE02D4" w:rsidRDefault="00535C22" w:rsidP="00DD084C">
      <w:r w:rsidRPr="00AE02D4">
        <w:t xml:space="preserve">Pytanie </w:t>
      </w:r>
      <w:r w:rsidR="00FE3438" w:rsidRPr="00AE02D4">
        <w:t>6.</w:t>
      </w:r>
    </w:p>
    <w:p w:rsidR="00535C22" w:rsidRPr="00AE02D4" w:rsidRDefault="00535C22" w:rsidP="00DD084C">
      <w:r w:rsidRPr="00AE02D4">
        <w:t>Dotyczy załącznika nr 2 do SIWZ, pkt 6.</w:t>
      </w:r>
    </w:p>
    <w:p w:rsidR="00535C22" w:rsidRPr="00AE02D4" w:rsidRDefault="00535C22" w:rsidP="00DD084C">
      <w:r w:rsidRPr="00AE02D4">
        <w:t>Czy Zamawiający wyrazi zgodę by zapewnienie zdalnego dostępu dla Wykonawcy mogło być realizowane poprzez dedykowane (</w:t>
      </w:r>
      <w:proofErr w:type="spellStart"/>
      <w:r w:rsidRPr="00AE02D4">
        <w:t>polisowane</w:t>
      </w:r>
      <w:proofErr w:type="spellEnd"/>
      <w:r w:rsidRPr="00AE02D4">
        <w:t>) przekierowanie portu dla szyfrowanej usługi SSH, a w przypadku braku takiej zgody, czy możliwe jest zamontowanie własnego urządzenia dostępowego?</w:t>
      </w:r>
    </w:p>
    <w:p w:rsidR="00FE3438" w:rsidRPr="00E20163" w:rsidRDefault="00FE3438" w:rsidP="00DD084C">
      <w:r w:rsidRPr="00E20163">
        <w:t>Odpowiedź:</w:t>
      </w:r>
    </w:p>
    <w:p w:rsidR="00DA131C" w:rsidRPr="00E20163" w:rsidRDefault="00DA131C" w:rsidP="00DD084C">
      <w:r w:rsidRPr="00E20163">
        <w:t xml:space="preserve">Zamawiający wyraża zgodę na zamontowanie własnego urządzenia dostępowego. </w:t>
      </w:r>
    </w:p>
    <w:p w:rsidR="0015794C" w:rsidRPr="00AE02D4" w:rsidRDefault="0015794C" w:rsidP="00DD084C"/>
    <w:p w:rsidR="00535C22" w:rsidRPr="00AE02D4" w:rsidRDefault="00535C22" w:rsidP="00DD084C">
      <w:r w:rsidRPr="00AE02D4">
        <w:t xml:space="preserve">Pytanie </w:t>
      </w:r>
      <w:r w:rsidR="00FE3438" w:rsidRPr="00AE02D4">
        <w:t>7.</w:t>
      </w:r>
    </w:p>
    <w:p w:rsidR="00535C22" w:rsidRPr="00AE02D4" w:rsidRDefault="00535C22" w:rsidP="00DD084C">
      <w:r w:rsidRPr="00AE02D4">
        <w:t xml:space="preserve">Dotyczy załącznika nr 2 do SIWZ, pkt. 8. </w:t>
      </w:r>
    </w:p>
    <w:p w:rsidR="00535C22" w:rsidRPr="00AE02D4" w:rsidRDefault="00535C22" w:rsidP="00DD084C">
      <w:pPr>
        <w:rPr>
          <w:bCs/>
        </w:rPr>
      </w:pPr>
      <w:r w:rsidRPr="00AE02D4">
        <w:t xml:space="preserve">Wymóg postawiony przez Zamawiającego sprowadza się do </w:t>
      </w:r>
      <w:r w:rsidRPr="00AE02D4">
        <w:rPr>
          <w:u w:val="single"/>
        </w:rPr>
        <w:t>dostawy</w:t>
      </w:r>
      <w:r w:rsidRPr="00AE02D4">
        <w:t xml:space="preserve"> odpowiedniego oprogramowania, umożliwiającego podgląd wykonanych badań, znajdującego się jedynie ofercie producenta aparatu. Dostarczenie takiego produktu wiąże się z odrębną umową licencyjną, nie mającą nic wspólnego z serwisem pogwarancyjnym tomografu komputerowego, a także zawężeniem kręgu wykonawców zdolnych taki serwis wykonać jedynie do producenta tomografu. W związku z powyższym prosimy o wykreślenie tego wymogu ze szczegółowego opisu przedmiotu zamówienia jako niezgodnego z ideą i naczelna zasadą zamówień publicznych tj. zasadą konkurencyjności. W pozostałym zakresie tj. dotyczącym podglądu harmonogramu i wykonanych prac dotyczących tomografu komputerowego niezależne serwisy aparatury medycznej konkurujące na rynku z producentem tomografu spełniają za pomocą udostępnianym szpitalom autorskich rozwiązań. </w:t>
      </w:r>
    </w:p>
    <w:p w:rsidR="00FE3438" w:rsidRPr="00E20163" w:rsidRDefault="00FE3438" w:rsidP="00DD084C">
      <w:r w:rsidRPr="00E20163">
        <w:t>Odpowiedź:</w:t>
      </w:r>
    </w:p>
    <w:p w:rsidR="00DA131C" w:rsidRPr="00E20163" w:rsidRDefault="00DA131C" w:rsidP="00DD084C">
      <w:r w:rsidRPr="00E20163">
        <w:t xml:space="preserve">Zamawiający podtrzymuje postanowienia SIWZ w załączniku 2 pkt. 8.  </w:t>
      </w:r>
    </w:p>
    <w:p w:rsidR="00535C22" w:rsidRPr="00AE02D4" w:rsidRDefault="00535C22" w:rsidP="00DD084C"/>
    <w:p w:rsidR="00535C22" w:rsidRPr="00AE02D4" w:rsidRDefault="00535C22" w:rsidP="00DD084C">
      <w:r w:rsidRPr="00AE02D4">
        <w:t>Pytanie</w:t>
      </w:r>
      <w:r w:rsidR="005857E5" w:rsidRPr="00AE02D4">
        <w:t xml:space="preserve"> </w:t>
      </w:r>
      <w:r w:rsidR="00FE3438" w:rsidRPr="00AE02D4">
        <w:t>8.</w:t>
      </w:r>
    </w:p>
    <w:p w:rsidR="00535C22" w:rsidRPr="00AE02D4" w:rsidRDefault="00535C22" w:rsidP="00DD084C">
      <w:r w:rsidRPr="00AE02D4">
        <w:t>Dotyczy załącznika nr 2 do SIWZ, pkt. 9.</w:t>
      </w:r>
    </w:p>
    <w:p w:rsidR="00535C22" w:rsidRPr="00AE02D4" w:rsidRDefault="00535C22" w:rsidP="00DD084C">
      <w:r w:rsidRPr="00AE02D4">
        <w:t xml:space="preserve">Warunek opisany w pkt. 9 zał. nr 2 dotyczy oprogramowania wbudowanego w strukturę oprogramowania tomografu, w związku z tym funkcja przywołania serwisu za pomocą jednego przycisku na konsoli operatorskiej TK, może być dostarczona tylko i wyłącznie przez producenta aparatu TK. Jako firma serwisowa, konkurencyjna dla serwisu producenta aparatu, zwracamy uwagę, iż zapis tej treści stanowi celowe ograniczenie liczby potencjalnych wykonawców i narusza tym samym ustawę prawo zamówień publicznych. </w:t>
      </w:r>
      <w:r w:rsidR="00DE6CF3" w:rsidRPr="00AE02D4">
        <w:t>XXX</w:t>
      </w:r>
      <w:r w:rsidRPr="00AE02D4">
        <w:t xml:space="preserve"> może zaproponować rozwiązanie zastępcze. Natychmiastowe wezwanie serwisu możemy rozwiązać poprzez możliwość wykonania telefonu do biura serwisu, bądź zgłoszenie mailowe / faksem. Ponadto zwracamy uwagę, że Zamawiający w § 2 ust 5 umowy zastrzega, że Wykonawca jest zobowiązany do rozpoczęcia naprawy w ciągu 24 godzin </w:t>
      </w:r>
      <w:r w:rsidRPr="00AE02D4">
        <w:rPr>
          <w:u w:val="single"/>
        </w:rPr>
        <w:t>od pisemnego zgłoszenia</w:t>
      </w:r>
      <w:r w:rsidRPr="00AE02D4">
        <w:t xml:space="preserve">. W związku z tym zapisem wnioskujemy, iż Zamawiającemu przycisk na konsoli służy jedynie do ograniczenia konkurencji. W związku z tym zwracamy się do Zamawiającego z </w:t>
      </w:r>
      <w:r w:rsidRPr="00AE02D4">
        <w:lastRenderedPageBreak/>
        <w:t>prośbą o wykreślenie warunku zapewnienia jednego przycisku na konsoli, jako warunku ograniczającego liczbę potencjalnych wykonawców tylko i wyłącznie do producenta urządzenia. Wykreślenie tego zapisu, w świetle ustawy prawo zamówieniach publicznych, umożliwi rozszerzenie katalogu podmiotów zdolnych do wykonania zmówienia. Nadmieniamy, iż jeśli Zamawiający uważa, iż przycisk stanowi niezbędny element przedmiotowego postępowania, to winien rozpisać postepowanie w trybie niekonkurencyjnym tj. zamówienia z wolnej ręki, z przyczyn technicznych o obiektywnym charakterze, a nie w trybie konkurencyjnym, ograniczając zapisami w SIWZ grono wykonawców do jednego tj. producenta urządzenia.</w:t>
      </w:r>
    </w:p>
    <w:p w:rsidR="00FE3438" w:rsidRPr="00E20163" w:rsidRDefault="00FE3438" w:rsidP="00DD084C">
      <w:r w:rsidRPr="00E20163">
        <w:t>Odpowiedź:</w:t>
      </w:r>
    </w:p>
    <w:p w:rsidR="00E26781" w:rsidRPr="00E20163" w:rsidRDefault="00E26781" w:rsidP="00DD084C">
      <w:r w:rsidRPr="00E20163">
        <w:t xml:space="preserve">Zamawiający wyraża zgodę na  informację pisemną, telefoniczna lub za pomocą poczty elektronicznej.   </w:t>
      </w:r>
    </w:p>
    <w:p w:rsidR="00535C22" w:rsidRDefault="00535C22" w:rsidP="00DD084C"/>
    <w:p w:rsidR="00C50F70" w:rsidRPr="003A48D6" w:rsidRDefault="00C50F70" w:rsidP="00DD084C">
      <w:r>
        <w:tab/>
      </w:r>
      <w:r w:rsidRPr="003A48D6">
        <w:t>Zamawiający dokonuje modyfikacji załącznika nr 2 do SIWZ w pozycji nr 3 i 4 oraz po pozycji 11 dodaje pozycję nr 12 „Każda czynność naprawcza, przeglądowa lub wymiana podzespołów zużytych na nowe powinna być wpisana w paszporcie technicznych urządzenia lub przesłana w postaci raportu serwisowego”</w:t>
      </w:r>
    </w:p>
    <w:p w:rsidR="00C50F70" w:rsidRPr="003A48D6" w:rsidRDefault="00C50F70" w:rsidP="00DD084C">
      <w:r w:rsidRPr="003A48D6">
        <w:tab/>
        <w:t xml:space="preserve">Zamawiający dokonuje również modyfikacji wzoru umowy w §2 ust. 4 oraz dodaje po ust. 6 ustęp 7 </w:t>
      </w:r>
      <w:r w:rsidR="003A48D6">
        <w:br/>
      </w:r>
      <w:r w:rsidRPr="003A48D6">
        <w:t>o treści „W przypadku, gdy naprawa nie zostanie wykonana w terminach, o  których mowa w ust. 5 i 6, każdy dzień przestoju aparatu spowoduje wydłużenie terminu obowiązywania umowy bez zmiany ceny, co będzie potwierdzone protokołem”. Zamawiający  dokonuje te</w:t>
      </w:r>
      <w:r w:rsidR="003A48D6">
        <w:t>ż</w:t>
      </w:r>
      <w:r w:rsidRPr="003A48D6">
        <w:t xml:space="preserve"> modyfikacji wzoru umowy w §</w:t>
      </w:r>
      <w:r w:rsidRPr="00426958">
        <w:t>5</w:t>
      </w:r>
      <w:r w:rsidR="00426958" w:rsidRPr="00426958">
        <w:t xml:space="preserve"> i</w:t>
      </w:r>
      <w:r w:rsidR="00DD084C" w:rsidRPr="00426958">
        <w:t xml:space="preserve"> </w:t>
      </w:r>
      <w:r w:rsidR="00426958" w:rsidRPr="00426958">
        <w:t>§</w:t>
      </w:r>
      <w:r w:rsidR="00426958" w:rsidRPr="00426958">
        <w:t>7</w:t>
      </w:r>
      <w:r w:rsidR="00426958">
        <w:t xml:space="preserve">. </w:t>
      </w:r>
      <w:bookmarkStart w:id="0" w:name="_GoBack"/>
      <w:bookmarkEnd w:id="0"/>
    </w:p>
    <w:p w:rsidR="00C50F70" w:rsidRPr="00AE02D4" w:rsidRDefault="00C50F70" w:rsidP="00DD084C"/>
    <w:p w:rsidR="00E20163" w:rsidRDefault="006A3C4B" w:rsidP="00DD084C">
      <w:r w:rsidRPr="00AE02D4">
        <w:tab/>
      </w:r>
    </w:p>
    <w:p w:rsidR="00801D82" w:rsidRPr="00AE02D4" w:rsidRDefault="00801D82" w:rsidP="00DD084C">
      <w:pPr>
        <w:jc w:val="right"/>
      </w:pPr>
      <w:r w:rsidRPr="00AE02D4">
        <w:t xml:space="preserve">Z </w:t>
      </w:r>
      <w:r w:rsidRPr="003A48D6">
        <w:t>poważaniem</w:t>
      </w:r>
    </w:p>
    <w:sectPr w:rsidR="00801D82" w:rsidRPr="00AE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20" w:rsidRDefault="00023E20" w:rsidP="00DD084C">
      <w:r>
        <w:separator/>
      </w:r>
    </w:p>
  </w:endnote>
  <w:endnote w:type="continuationSeparator" w:id="0">
    <w:p w:rsidR="00023E20" w:rsidRDefault="00023E20" w:rsidP="00DD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10002FF" w:usb1="4000ACFF" w:usb2="00000009" w:usb3="00000000" w:csb0="0000019F" w:csb1="00000000"/>
  </w:font>
  <w:font w:name="Siemens Sans">
    <w:altName w:val="Times New Roman"/>
    <w:charset w:val="EE"/>
    <w:family w:val="auto"/>
    <w:pitch w:val="variable"/>
    <w:sig w:usb0="00000001" w:usb1="0000204B" w:usb2="00000000" w:usb3="00000000" w:csb0="00000093"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20" w:rsidRDefault="00023E20" w:rsidP="00DD084C">
      <w:r>
        <w:separator/>
      </w:r>
    </w:p>
  </w:footnote>
  <w:footnote w:type="continuationSeparator" w:id="0">
    <w:p w:rsidR="00023E20" w:rsidRDefault="00023E20" w:rsidP="00DD0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2A3A"/>
    <w:multiLevelType w:val="hybridMultilevel"/>
    <w:tmpl w:val="6E423CE0"/>
    <w:lvl w:ilvl="0" w:tplc="74DC845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78826A4"/>
    <w:multiLevelType w:val="hybridMultilevel"/>
    <w:tmpl w:val="7FD6AC6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34F1767"/>
    <w:multiLevelType w:val="hybridMultilevel"/>
    <w:tmpl w:val="6A407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8D72E3"/>
    <w:multiLevelType w:val="hybridMultilevel"/>
    <w:tmpl w:val="B468AECA"/>
    <w:lvl w:ilvl="0" w:tplc="04150011">
      <w:start w:val="1"/>
      <w:numFmt w:val="decimal"/>
      <w:lvlText w:val="%1)"/>
      <w:lvlJc w:val="left"/>
      <w:pPr>
        <w:ind w:left="644" w:hanging="360"/>
      </w:pPr>
      <w:rPr>
        <w:rFonts w:hint="default"/>
      </w:rPr>
    </w:lvl>
    <w:lvl w:ilvl="1" w:tplc="19BE1128">
      <w:start w:val="1"/>
      <w:numFmt w:val="lowerLetter"/>
      <w:lvlText w:val="%2)"/>
      <w:lvlJc w:val="left"/>
      <w:pPr>
        <w:ind w:left="1440" w:hanging="360"/>
      </w:pPr>
      <w:rPr>
        <w:rFonts w:ascii="Candara" w:eastAsia="Calibri" w:hAnsi="Candar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2B475A"/>
    <w:multiLevelType w:val="hybridMultilevel"/>
    <w:tmpl w:val="DFF69CD2"/>
    <w:lvl w:ilvl="0" w:tplc="D11A555A">
      <w:start w:val="1"/>
      <w:numFmt w:val="decimal"/>
      <w:lvlText w:val="%1)"/>
      <w:lvlJc w:val="left"/>
      <w:pPr>
        <w:ind w:left="720" w:hanging="360"/>
      </w:pPr>
      <w:rPr>
        <w:rFonts w:ascii="Siemens Sans" w:eastAsia="MS Mincho" w:hAnsi="Siemens Sans"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82"/>
    <w:rsid w:val="00023E20"/>
    <w:rsid w:val="000613B8"/>
    <w:rsid w:val="000E587E"/>
    <w:rsid w:val="0015794C"/>
    <w:rsid w:val="003A48D6"/>
    <w:rsid w:val="003D7D61"/>
    <w:rsid w:val="00426958"/>
    <w:rsid w:val="00535C22"/>
    <w:rsid w:val="005857E5"/>
    <w:rsid w:val="00600E97"/>
    <w:rsid w:val="006A3C4B"/>
    <w:rsid w:val="006A65DF"/>
    <w:rsid w:val="00776A3A"/>
    <w:rsid w:val="007D2CD1"/>
    <w:rsid w:val="00801D82"/>
    <w:rsid w:val="00806C03"/>
    <w:rsid w:val="00810F3C"/>
    <w:rsid w:val="008E344E"/>
    <w:rsid w:val="00A41A09"/>
    <w:rsid w:val="00AE02D4"/>
    <w:rsid w:val="00BA1C91"/>
    <w:rsid w:val="00C50F70"/>
    <w:rsid w:val="00D555F9"/>
    <w:rsid w:val="00DA131C"/>
    <w:rsid w:val="00DD084C"/>
    <w:rsid w:val="00DE6CF3"/>
    <w:rsid w:val="00E20163"/>
    <w:rsid w:val="00E26781"/>
    <w:rsid w:val="00E575DC"/>
    <w:rsid w:val="00E700FA"/>
    <w:rsid w:val="00FE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utoRedefine/>
    <w:qFormat/>
    <w:rsid w:val="00DD084C"/>
    <w:pPr>
      <w:tabs>
        <w:tab w:val="num" w:pos="426"/>
      </w:tabs>
      <w:suppressAutoHyphens/>
      <w:autoSpaceDE w:val="0"/>
      <w:spacing w:after="0" w:line="360" w:lineRule="auto"/>
      <w:jc w:val="both"/>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D82"/>
    <w:pPr>
      <w:contextualSpacing/>
    </w:pPr>
  </w:style>
  <w:style w:type="paragraph" w:customStyle="1" w:styleId="Default">
    <w:name w:val="Default"/>
    <w:rsid w:val="007D2CD1"/>
    <w:pPr>
      <w:autoSpaceDE w:val="0"/>
      <w:autoSpaceDN w:val="0"/>
      <w:adjustRightInd w:val="0"/>
      <w:spacing w:after="0" w:line="240" w:lineRule="auto"/>
    </w:pPr>
    <w:rPr>
      <w:rFonts w:ascii="Liberation Sans" w:eastAsia="MS Mincho" w:hAnsi="Liberation Sans" w:cs="Liberation Sans"/>
      <w:color w:val="000000"/>
      <w:sz w:val="24"/>
      <w:szCs w:val="24"/>
      <w:lang w:eastAsia="pl-PL"/>
    </w:rPr>
  </w:style>
  <w:style w:type="paragraph" w:styleId="Tekstprzypisukocowego">
    <w:name w:val="endnote text"/>
    <w:basedOn w:val="Normalny"/>
    <w:link w:val="TekstprzypisukocowegoZnak"/>
    <w:uiPriority w:val="99"/>
    <w:semiHidden/>
    <w:unhideWhenUsed/>
    <w:rsid w:val="007D2CD1"/>
    <w:pPr>
      <w:spacing w:line="240" w:lineRule="auto"/>
    </w:pPr>
  </w:style>
  <w:style w:type="character" w:customStyle="1" w:styleId="TekstprzypisukocowegoZnak">
    <w:name w:val="Tekst przypisu końcowego Znak"/>
    <w:basedOn w:val="Domylnaczcionkaakapitu"/>
    <w:link w:val="Tekstprzypisukocowego"/>
    <w:uiPriority w:val="99"/>
    <w:semiHidden/>
    <w:rsid w:val="007D2C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2CD1"/>
    <w:rPr>
      <w:vertAlign w:val="superscript"/>
    </w:rPr>
  </w:style>
  <w:style w:type="paragraph" w:styleId="Tekstdymka">
    <w:name w:val="Balloon Text"/>
    <w:basedOn w:val="Normalny"/>
    <w:link w:val="TekstdymkaZnak"/>
    <w:uiPriority w:val="99"/>
    <w:semiHidden/>
    <w:unhideWhenUsed/>
    <w:rsid w:val="00806C0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C0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utoRedefine/>
    <w:qFormat/>
    <w:rsid w:val="00DD084C"/>
    <w:pPr>
      <w:tabs>
        <w:tab w:val="num" w:pos="426"/>
      </w:tabs>
      <w:suppressAutoHyphens/>
      <w:autoSpaceDE w:val="0"/>
      <w:spacing w:after="0" w:line="360" w:lineRule="auto"/>
      <w:jc w:val="both"/>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D82"/>
    <w:pPr>
      <w:contextualSpacing/>
    </w:pPr>
  </w:style>
  <w:style w:type="paragraph" w:customStyle="1" w:styleId="Default">
    <w:name w:val="Default"/>
    <w:rsid w:val="007D2CD1"/>
    <w:pPr>
      <w:autoSpaceDE w:val="0"/>
      <w:autoSpaceDN w:val="0"/>
      <w:adjustRightInd w:val="0"/>
      <w:spacing w:after="0" w:line="240" w:lineRule="auto"/>
    </w:pPr>
    <w:rPr>
      <w:rFonts w:ascii="Liberation Sans" w:eastAsia="MS Mincho" w:hAnsi="Liberation Sans" w:cs="Liberation Sans"/>
      <w:color w:val="000000"/>
      <w:sz w:val="24"/>
      <w:szCs w:val="24"/>
      <w:lang w:eastAsia="pl-PL"/>
    </w:rPr>
  </w:style>
  <w:style w:type="paragraph" w:styleId="Tekstprzypisukocowego">
    <w:name w:val="endnote text"/>
    <w:basedOn w:val="Normalny"/>
    <w:link w:val="TekstprzypisukocowegoZnak"/>
    <w:uiPriority w:val="99"/>
    <w:semiHidden/>
    <w:unhideWhenUsed/>
    <w:rsid w:val="007D2CD1"/>
    <w:pPr>
      <w:spacing w:line="240" w:lineRule="auto"/>
    </w:pPr>
  </w:style>
  <w:style w:type="character" w:customStyle="1" w:styleId="TekstprzypisukocowegoZnak">
    <w:name w:val="Tekst przypisu końcowego Znak"/>
    <w:basedOn w:val="Domylnaczcionkaakapitu"/>
    <w:link w:val="Tekstprzypisukocowego"/>
    <w:uiPriority w:val="99"/>
    <w:semiHidden/>
    <w:rsid w:val="007D2C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2CD1"/>
    <w:rPr>
      <w:vertAlign w:val="superscript"/>
    </w:rPr>
  </w:style>
  <w:style w:type="paragraph" w:styleId="Tekstdymka">
    <w:name w:val="Balloon Text"/>
    <w:basedOn w:val="Normalny"/>
    <w:link w:val="TekstdymkaZnak"/>
    <w:uiPriority w:val="99"/>
    <w:semiHidden/>
    <w:unhideWhenUsed/>
    <w:rsid w:val="00806C0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C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o.me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1321</Words>
  <Characters>7928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nowakd</dc:creator>
  <cp:keywords/>
  <dc:description/>
  <cp:lastModifiedBy>nowakd</cp:lastModifiedBy>
  <cp:revision>27</cp:revision>
  <cp:lastPrinted>2015-06-02T06:07:00Z</cp:lastPrinted>
  <dcterms:created xsi:type="dcterms:W3CDTF">2015-05-26T07:42:00Z</dcterms:created>
  <dcterms:modified xsi:type="dcterms:W3CDTF">2015-06-02T06:07:00Z</dcterms:modified>
</cp:coreProperties>
</file>