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E7" w:rsidRPr="00F9729D" w:rsidRDefault="00CC6FE7" w:rsidP="00CC6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E3634">
        <w:rPr>
          <w:rFonts w:ascii="Times New Roman" w:hAnsi="Times New Roman" w:cs="Times New Roman"/>
          <w:b/>
        </w:rPr>
        <w:t>Zał.</w:t>
      </w:r>
      <w:r w:rsidRPr="00F9729D">
        <w:rPr>
          <w:rFonts w:ascii="Times New Roman" w:hAnsi="Times New Roman" w:cs="Times New Roman"/>
          <w:b/>
        </w:rPr>
        <w:t xml:space="preserve"> 2</w:t>
      </w:r>
    </w:p>
    <w:p w:rsidR="00CC6FE7" w:rsidRPr="00810871" w:rsidRDefault="00134F0D" w:rsidP="00CE3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 4  </w:t>
      </w:r>
      <w:r w:rsidR="005974ED">
        <w:rPr>
          <w:rFonts w:ascii="Times New Roman" w:hAnsi="Times New Roman" w:cs="Times New Roman"/>
          <w:b/>
          <w:sz w:val="24"/>
          <w:szCs w:val="24"/>
        </w:rPr>
        <w:t>POMPA</w:t>
      </w:r>
      <w:r w:rsidR="00CE3634">
        <w:rPr>
          <w:rFonts w:ascii="Times New Roman" w:hAnsi="Times New Roman" w:cs="Times New Roman"/>
          <w:b/>
          <w:sz w:val="24"/>
          <w:szCs w:val="24"/>
        </w:rPr>
        <w:t xml:space="preserve">    INFUZYJNA</w:t>
      </w:r>
      <w:r w:rsidR="00CC6FE7" w:rsidRPr="00F9729D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CE3634" w:rsidRPr="00CD552B" w:rsidRDefault="00CE3634" w:rsidP="00CE3634">
      <w:pPr>
        <w:rPr>
          <w:b/>
        </w:rPr>
      </w:pPr>
      <w:r w:rsidRPr="00CD552B">
        <w:rPr>
          <w:b/>
        </w:rPr>
        <w:t>Producent:…………………………………………</w:t>
      </w:r>
    </w:p>
    <w:p w:rsidR="00CC6FE7" w:rsidRPr="00F9729D" w:rsidRDefault="00CE3634" w:rsidP="00CE3634">
      <w:pPr>
        <w:rPr>
          <w:rFonts w:ascii="Times New Roman" w:hAnsi="Times New Roman" w:cs="Times New Roman"/>
          <w:b/>
        </w:rPr>
      </w:pPr>
      <w:r w:rsidRPr="00CD552B">
        <w:rPr>
          <w:b/>
        </w:rPr>
        <w:t>Rok produkcji:2018/2019-……………………….</w:t>
      </w: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610"/>
        <w:gridCol w:w="5053"/>
        <w:gridCol w:w="1277"/>
        <w:gridCol w:w="2410"/>
      </w:tblGrid>
      <w:tr w:rsidR="00CE3634" w:rsidRPr="00F9729D" w:rsidTr="00CE3634">
        <w:trPr>
          <w:trHeight w:val="435"/>
        </w:trPr>
        <w:tc>
          <w:tcPr>
            <w:tcW w:w="326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  <w:b/>
              </w:rPr>
            </w:pPr>
            <w:r w:rsidRPr="00F972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02" w:type="pct"/>
          </w:tcPr>
          <w:p w:rsidR="00CE3634" w:rsidRPr="00F9729D" w:rsidRDefault="00CE3634" w:rsidP="0021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9D"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683" w:type="pct"/>
          </w:tcPr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9D">
              <w:rPr>
                <w:rFonts w:ascii="Times New Roman" w:hAnsi="Times New Roman" w:cs="Times New Roman"/>
                <w:b/>
              </w:rPr>
              <w:t>Wymóg graniczny,</w:t>
            </w:r>
          </w:p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89" w:type="pct"/>
          </w:tcPr>
          <w:p w:rsidR="00CE3634" w:rsidRPr="00CE3634" w:rsidRDefault="00CE3634" w:rsidP="00D3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634">
              <w:rPr>
                <w:rFonts w:ascii="Times New Roman" w:hAnsi="Times New Roman" w:cs="Times New Roman"/>
                <w:b/>
              </w:rPr>
              <w:t>Parametr oferowany/ podać</w:t>
            </w:r>
          </w:p>
        </w:tc>
      </w:tr>
      <w:tr w:rsidR="00CE3634" w:rsidRPr="00F9729D" w:rsidTr="00CE3634">
        <w:tc>
          <w:tcPr>
            <w:tcW w:w="326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2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Stosowanie strzykawek 2, 5, 10, 20, 50 ml. Podać typ i producenta.</w:t>
            </w:r>
          </w:p>
        </w:tc>
        <w:tc>
          <w:tcPr>
            <w:tcW w:w="683" w:type="pct"/>
            <w:vAlign w:val="center"/>
          </w:tcPr>
          <w:p w:rsidR="00CE3634" w:rsidRPr="00F9729D" w:rsidRDefault="00CB25F9" w:rsidP="00D3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Strzykawki montowane od czoła a nie od góry pompy.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Ramię pompy niewychodzące poza gabaryt obudowy.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Klawiatura numeryczna umożliwiająca szybkie i bezpieczne programowanie pompy. 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Wysokość pompy zapewniająca wygodną obsługę do 8 pomp, zamocowanych jedna nad drugą – max. 12 cm.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Szybkość dozowania w zakresie 0,101800 ml/h.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Programowanie parametrów infuzji w jednostkach: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ml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Style w:val="st"/>
                <w:rFonts w:ascii="Times New Roman" w:hAnsi="Times New Roman" w:cs="Times New Roman"/>
              </w:rPr>
            </w:pPr>
            <w:proofErr w:type="spellStart"/>
            <w:r w:rsidRPr="00F9729D">
              <w:rPr>
                <w:rFonts w:ascii="Times New Roman" w:hAnsi="Times New Roman" w:cs="Times New Roman"/>
              </w:rPr>
              <w:t>ng</w:t>
            </w:r>
            <w:proofErr w:type="spellEnd"/>
            <w:r w:rsidRPr="00F9729D">
              <w:rPr>
                <w:rFonts w:ascii="Times New Roman" w:hAnsi="Times New Roman" w:cs="Times New Roman"/>
              </w:rPr>
              <w:t xml:space="preserve">, </w:t>
            </w:r>
            <w:r w:rsidRPr="00F9729D">
              <w:rPr>
                <w:rStyle w:val="st"/>
                <w:rFonts w:ascii="Times New Roman" w:hAnsi="Times New Roman" w:cs="Times New Roman"/>
              </w:rPr>
              <w:t>µg, mg,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Style w:val="st"/>
                <w:rFonts w:ascii="Times New Roman" w:hAnsi="Times New Roman" w:cs="Times New Roman"/>
              </w:rPr>
            </w:pPr>
            <w:r w:rsidRPr="00F9729D">
              <w:rPr>
                <w:rStyle w:val="st"/>
                <w:rFonts w:ascii="Times New Roman" w:hAnsi="Times New Roman" w:cs="Times New Roman"/>
              </w:rPr>
              <w:t>µ</w:t>
            </w: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Eq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 xml:space="preserve">, </w:t>
            </w: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mEq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 xml:space="preserve">, </w:t>
            </w: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Eq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>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Style w:val="st"/>
                <w:rFonts w:ascii="Times New Roman" w:hAnsi="Times New Roman" w:cs="Times New Roman"/>
              </w:rPr>
            </w:pP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mIU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 xml:space="preserve">, IU, </w:t>
            </w: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kIU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>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Style w:val="st"/>
                <w:rFonts w:ascii="Times New Roman" w:hAnsi="Times New Roman" w:cs="Times New Roman"/>
              </w:rPr>
            </w:pP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mIE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 xml:space="preserve">, IE, </w:t>
            </w: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kIE</w:t>
            </w:r>
            <w:proofErr w:type="spellEnd"/>
            <w:r w:rsidRPr="00F9729D">
              <w:rPr>
                <w:rStyle w:val="st"/>
                <w:rFonts w:ascii="Times New Roman" w:hAnsi="Times New Roman" w:cs="Times New Roman"/>
              </w:rPr>
              <w:t>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Style w:val="st"/>
                <w:rFonts w:ascii="Times New Roman" w:hAnsi="Times New Roman" w:cs="Times New Roman"/>
              </w:rPr>
            </w:pPr>
            <w:r w:rsidRPr="00F9729D">
              <w:rPr>
                <w:rStyle w:val="st"/>
                <w:rFonts w:ascii="Times New Roman" w:hAnsi="Times New Roman" w:cs="Times New Roman"/>
              </w:rPr>
              <w:t xml:space="preserve">cal, kcal, J, </w:t>
            </w:r>
            <w:proofErr w:type="spellStart"/>
            <w:r w:rsidRPr="00F9729D">
              <w:rPr>
                <w:rStyle w:val="st"/>
                <w:rFonts w:ascii="Times New Roman" w:hAnsi="Times New Roman" w:cs="Times New Roman"/>
              </w:rPr>
              <w:t>kJ</w:t>
            </w:r>
            <w:proofErr w:type="spellEnd"/>
          </w:p>
          <w:p w:rsidR="00CB25F9" w:rsidRPr="00F9729D" w:rsidRDefault="00CB25F9" w:rsidP="00CB25F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Style w:val="st"/>
                <w:rFonts w:ascii="Times New Roman" w:hAnsi="Times New Roman" w:cs="Times New Roman"/>
              </w:rPr>
            </w:pPr>
            <w:r w:rsidRPr="00F9729D">
              <w:rPr>
                <w:rStyle w:val="st"/>
                <w:rFonts w:ascii="Times New Roman" w:hAnsi="Times New Roman" w:cs="Times New Roman"/>
              </w:rPr>
              <w:t>jednostki molowe</w:t>
            </w:r>
          </w:p>
          <w:p w:rsidR="00CB25F9" w:rsidRPr="00F9729D" w:rsidRDefault="00CB25F9" w:rsidP="00CB25F9">
            <w:pPr>
              <w:rPr>
                <w:rStyle w:val="st"/>
                <w:rFonts w:ascii="Times New Roman" w:hAnsi="Times New Roman" w:cs="Times New Roman"/>
              </w:rPr>
            </w:pPr>
            <w:r w:rsidRPr="00F9729D">
              <w:rPr>
                <w:rStyle w:val="st"/>
                <w:rFonts w:ascii="Times New Roman" w:hAnsi="Times New Roman" w:cs="Times New Roman"/>
              </w:rPr>
              <w:t>z uwzględnieniem wagi pacjenta lub nie,</w:t>
            </w:r>
          </w:p>
          <w:p w:rsidR="00CB25F9" w:rsidRPr="00F9729D" w:rsidRDefault="00CB25F9" w:rsidP="00CB25F9">
            <w:pPr>
              <w:rPr>
                <w:rStyle w:val="st"/>
                <w:rFonts w:ascii="Times New Roman" w:hAnsi="Times New Roman" w:cs="Times New Roman"/>
              </w:rPr>
            </w:pPr>
            <w:r w:rsidRPr="00F9729D">
              <w:rPr>
                <w:rStyle w:val="st"/>
                <w:rFonts w:ascii="Times New Roman" w:hAnsi="Times New Roman" w:cs="Times New Roman"/>
              </w:rPr>
              <w:t>z uwzględnieniem powierzchni pac jęta lub nie,</w:t>
            </w:r>
          </w:p>
          <w:p w:rsidR="00CB25F9" w:rsidRPr="00F9729D" w:rsidRDefault="00CB25F9" w:rsidP="00CB25F9">
            <w:pPr>
              <w:ind w:left="317" w:hanging="317"/>
              <w:rPr>
                <w:rFonts w:ascii="Times New Roman" w:hAnsi="Times New Roman" w:cs="Times New Roman"/>
              </w:rPr>
            </w:pPr>
            <w:r w:rsidRPr="00F9729D">
              <w:rPr>
                <w:rStyle w:val="st"/>
                <w:rFonts w:ascii="Times New Roman" w:hAnsi="Times New Roman" w:cs="Times New Roman"/>
              </w:rPr>
              <w:t>na min, godz. Dobę.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Wymagane tryby dozowania: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Infuzja ciągła,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Infuzja bolusowa (z przerwą),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Infuzja profilowa (min. 12 faz infuzji),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Infuzja narastanie/ ciągła/ opadanie.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Dokładność infuzji 2%.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Programowanie parametrów podaży Bolus-a i dawki indukcyjnej: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Objętość / dawka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lub szybkość podaży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E0BAC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Automatyczne zmniejszenie szybkości podaży bolusa, w celu uniknięcia przerwania infuzji na skutek alarmu okluzji.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573F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634" w:rsidRPr="00F9729D" w:rsidTr="00CE3634">
        <w:tc>
          <w:tcPr>
            <w:tcW w:w="326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2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Biblioteka leków – możliwość zapisania w pompie procedur dozowania leków, każda procedura złożona co najmniej z: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Nazwy leku,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Min. 5 koncentracji leku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Szybkości dozowania (dawkowanie)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Całkowitej objętości (dawki) infuzji,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Parametrów bolusa, oraz dawki indukcyjnej,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Limitów dla wymienionych parametrów infuzji:</w:t>
            </w:r>
          </w:p>
          <w:p w:rsidR="00CE3634" w:rsidRPr="00F9729D" w:rsidRDefault="00CE3634" w:rsidP="00D37CC6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lastRenderedPageBreak/>
              <w:t>Miękkich, ostrzegających o przekroczeniu zalecanych wartości parametrów,</w:t>
            </w:r>
          </w:p>
          <w:p w:rsidR="00CE3634" w:rsidRPr="00F9729D" w:rsidRDefault="00CE3634" w:rsidP="00D37CC6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Twardych – blokujących możliwość wprowadzenia wartości z poza  ich zakresu.</w:t>
            </w:r>
          </w:p>
          <w:p w:rsidR="00CE3634" w:rsidRPr="00F9729D" w:rsidRDefault="00CE3634" w:rsidP="00D37CC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Notatki doradczej możliwej do odczytania przed rozpoczęciem infuzji.</w:t>
            </w:r>
          </w:p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Podział biblioteki na osobne grupy dedykowane poszczególnym oddziałom szpitalnym, do 40 oddziałów. </w:t>
            </w:r>
          </w:p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Wybór oddziału dostępny w pompie. Podział biblioteki dedykowanej oddziałom na 40 kategorii lekowych. </w:t>
            </w:r>
          </w:p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Pojemność biblioteki 5000 procedur dozowania leków.</w:t>
            </w:r>
          </w:p>
        </w:tc>
        <w:tc>
          <w:tcPr>
            <w:tcW w:w="683" w:type="pct"/>
            <w:vAlign w:val="center"/>
          </w:tcPr>
          <w:p w:rsidR="00CE3634" w:rsidRPr="00F9729D" w:rsidRDefault="00CB25F9" w:rsidP="00D3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89" w:type="pct"/>
          </w:tcPr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634" w:rsidRPr="00F9729D" w:rsidTr="00CE3634">
        <w:tc>
          <w:tcPr>
            <w:tcW w:w="326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02" w:type="pct"/>
          </w:tcPr>
          <w:p w:rsidR="00CE3634" w:rsidRPr="00F9729D" w:rsidRDefault="00CE3634" w:rsidP="00D37CC6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Dostępność polskojęzycznego oprogramowania komputerowego do tworzenia i przesyłania do pompy biblioteki leków.</w:t>
            </w:r>
          </w:p>
        </w:tc>
        <w:tc>
          <w:tcPr>
            <w:tcW w:w="683" w:type="pct"/>
            <w:vAlign w:val="center"/>
          </w:tcPr>
          <w:p w:rsidR="00CE3634" w:rsidRPr="00F9729D" w:rsidRDefault="00CB25F9" w:rsidP="00D3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D3AC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Czytelny, kolorowy, wyświetlacz z możliwością wyświetlenia następujących informacji jednocześnie: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Nazwa leku,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Koncentracja leku,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Nazwa oddziału wybranego w bibliotece,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Prędkość infuzji,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Podana dawka,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Stan naładowania akumulatora, 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aktualne ciśnienie w drenie w formie graficznej,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494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D3AC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Ekran dotykowy, przyśpieszający wybór funkcji pompy. 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494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D3AC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Napisy na wyświetlaczu w języku polskim.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494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D3AC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Regulowane progi ciśnienia okluzji, 12 poziomów.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494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BD3AC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Zmiana progu ciśnienia okluzji bez przerywania infuzji.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494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A71679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Automatyczna redukcja bolusa </w:t>
            </w:r>
            <w:proofErr w:type="spellStart"/>
            <w:r w:rsidRPr="00F9729D">
              <w:rPr>
                <w:rFonts w:ascii="Times New Roman" w:hAnsi="Times New Roman" w:cs="Times New Roman"/>
              </w:rPr>
              <w:t>okluzyjnego</w:t>
            </w:r>
            <w:proofErr w:type="spellEnd"/>
            <w:r w:rsidRPr="00F97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2366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A71679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Priorytetowy system alarmów, zapewniający zróżnicowany sygnał dźwiękowy, i świetlny, zależnie od stopnia zagrożenia.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2366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A71679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Możliwość instalacji pompy w stacji dokującej: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Zatrzaskowe mocowanie z automatyczną blokadą, bez konieczności przykręcania.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Alarm nieprawidłowego mocowania pomp w stacji, Pompy mocowane niezależnie, jedna nad drugą.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Automatyczne przyłączenie zasilania ze stacji dokującej.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Automatycznie przyłączenie portu komunikacyjnego ze stacji dokującej.</w:t>
            </w:r>
          </w:p>
          <w:p w:rsidR="00CB25F9" w:rsidRPr="00F9729D" w:rsidRDefault="00CB25F9" w:rsidP="00CB25F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Świetlna sygnalizacja stanu pompy; infuzja, alarm.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2366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585AE3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Mocowanie pojedynczej pompy do statywów lub pionowych kolumn nie wymagające dołączenia jakichkolwiek części, w szczególności uchwytu </w:t>
            </w:r>
            <w:r w:rsidRPr="00F9729D">
              <w:rPr>
                <w:rFonts w:ascii="Times New Roman" w:hAnsi="Times New Roman" w:cs="Times New Roman"/>
              </w:rPr>
              <w:lastRenderedPageBreak/>
              <w:t>mocującego, po bezpośrednim wyjęciu pompy z stacji dokującej.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2D4746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585AE3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2D4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627D1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Uchwyt do przenoszenia pompy na stałe związany z pompą, niewymagający odłączenia przy mocowaniu pomp w stacjach dokujących.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DB37C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627D1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Możliwość komunikacji pomp umieszczonych w stacjach dokujących poprzez sieć LAN z oprogramowaniem zewnętrznym, służącym do:</w:t>
            </w:r>
          </w:p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Podglądu przebiegu infuzji dla każdej pompy w formie danych oraz graficznego wykresu (trendu),</w:t>
            </w:r>
          </w:p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Prezentacji alarmów w pompach oraz wyświetlanie ich przyczyny,</w:t>
            </w:r>
          </w:p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Prezentacja przewidywanego czasu do spodziewanej obsługi pompy.</w:t>
            </w:r>
          </w:p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Graficznej prezentacji rozmieszczenia łóżek na oddziale oraz statusu infuzji, Archiwizacji informacji o przeprowadzonych infuzjach,</w:t>
            </w:r>
          </w:p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Połączenia ze szpitalnymi bazami danych w standardzie HL7,</w:t>
            </w:r>
          </w:p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Wpisywania do pomp w sposób automatycznych konfiguracji oraz biblioteki leków,</w:t>
            </w:r>
          </w:p>
          <w:p w:rsidR="00CB25F9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Dostępność sieciowego, polskojęzycznego oprogramowania do monitorowania infuzji zgodnie z powyższymi wymaganiami. Brak takiego oprogramowania w ofercie wyklucza spełnienie wymagań.</w:t>
            </w:r>
          </w:p>
          <w:p w:rsidR="00CB25F9" w:rsidRDefault="00CB25F9" w:rsidP="00CB25F9">
            <w:pPr>
              <w:rPr>
                <w:rFonts w:ascii="Times New Roman" w:hAnsi="Times New Roman" w:cs="Times New Roman"/>
              </w:rPr>
            </w:pPr>
          </w:p>
          <w:p w:rsidR="00CB25F9" w:rsidRPr="00CE3634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DB37C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627D1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Historia infuzji – możliwość zapamiętania 2000 zdarzeń oznaczonych datą i godziną zdarzenia.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DB37C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627D16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Klasa ochrony II, typ CF, odporność na defibrylację, ochrona obudowy IP22</w:t>
            </w:r>
          </w:p>
        </w:tc>
        <w:tc>
          <w:tcPr>
            <w:tcW w:w="683" w:type="pct"/>
          </w:tcPr>
          <w:p w:rsidR="00CB25F9" w:rsidRDefault="00CB25F9" w:rsidP="00CB25F9">
            <w:pPr>
              <w:jc w:val="center"/>
            </w:pPr>
            <w:r w:rsidRPr="00DB37C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F87BD7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683" w:type="pct"/>
          </w:tcPr>
          <w:p w:rsidR="00CB25F9" w:rsidRDefault="00CB25F9" w:rsidP="00CB25F9">
            <w:r w:rsidRPr="00737C6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F87BD7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pracy z akumulatora 30 h przy infuzji 5ml/h</w:t>
            </w:r>
          </w:p>
        </w:tc>
        <w:tc>
          <w:tcPr>
            <w:tcW w:w="683" w:type="pct"/>
          </w:tcPr>
          <w:p w:rsidR="00CB25F9" w:rsidRDefault="00CB25F9" w:rsidP="00CB25F9">
            <w:r w:rsidRPr="00737C6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F87BD7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ładowania akumulatora do 100% po pełnym rozładowa</w:t>
            </w:r>
            <w:r>
              <w:rPr>
                <w:rFonts w:ascii="Times New Roman" w:hAnsi="Times New Roman" w:cs="Times New Roman"/>
              </w:rPr>
              <w:t>niu – poniżej 5</w:t>
            </w:r>
            <w:r w:rsidRPr="00F9729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83" w:type="pct"/>
          </w:tcPr>
          <w:p w:rsidR="00CB25F9" w:rsidRDefault="00CB25F9" w:rsidP="00CB25F9">
            <w:r w:rsidRPr="00737C6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F87BD7">
        <w:tc>
          <w:tcPr>
            <w:tcW w:w="326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02" w:type="pct"/>
          </w:tcPr>
          <w:p w:rsidR="00CB25F9" w:rsidRPr="00F9729D" w:rsidRDefault="00CB25F9" w:rsidP="00CB25F9">
            <w:pPr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Waga do 2,2 kg.</w:t>
            </w:r>
          </w:p>
        </w:tc>
        <w:tc>
          <w:tcPr>
            <w:tcW w:w="683" w:type="pct"/>
          </w:tcPr>
          <w:p w:rsidR="00CB25F9" w:rsidRDefault="00CB25F9" w:rsidP="00CB25F9">
            <w:r w:rsidRPr="00737C6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9" w:type="pct"/>
          </w:tcPr>
          <w:p w:rsidR="00CB25F9" w:rsidRPr="00F9729D" w:rsidRDefault="00CB25F9" w:rsidP="00CB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634" w:rsidRPr="00F9729D" w:rsidTr="00CE3634">
        <w:tc>
          <w:tcPr>
            <w:tcW w:w="3711" w:type="pct"/>
            <w:gridSpan w:val="3"/>
          </w:tcPr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  <w:b/>
              </w:rPr>
              <w:t>Warunki gwarancji</w:t>
            </w:r>
          </w:p>
        </w:tc>
        <w:tc>
          <w:tcPr>
            <w:tcW w:w="1289" w:type="pct"/>
          </w:tcPr>
          <w:p w:rsidR="00CE3634" w:rsidRPr="00F9729D" w:rsidRDefault="00CE3634" w:rsidP="00D37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7"/>
        <w:gridCol w:w="1705"/>
        <w:gridCol w:w="2407"/>
      </w:tblGrid>
      <w:tr w:rsidR="00CE3634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E3634" w:rsidRPr="00F9729D" w:rsidRDefault="00CE3634" w:rsidP="00C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pct"/>
            <w:shd w:val="clear" w:color="auto" w:fill="FFFFFF"/>
            <w:hideMark/>
          </w:tcPr>
          <w:p w:rsidR="00CE3634" w:rsidRPr="00F9729D" w:rsidRDefault="00CE3634" w:rsidP="00CE3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729D">
              <w:rPr>
                <w:rFonts w:ascii="Times New Roman" w:hAnsi="Times New Roman" w:cs="Times New Roman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912" w:type="pct"/>
            <w:shd w:val="clear" w:color="auto" w:fill="FFFFFF"/>
          </w:tcPr>
          <w:p w:rsidR="00CE3634" w:rsidRPr="00CE3634" w:rsidRDefault="00CE3634" w:rsidP="00CE3634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</w:t>
            </w:r>
            <w:r w:rsidRPr="00CE3634">
              <w:rPr>
                <w:rFonts w:ascii="Times New Roman" w:hAnsi="Times New Roman" w:cs="Times New Roman"/>
                <w:lang w:eastAsia="pl-PL"/>
              </w:rPr>
              <w:t>m-ce-0 pkt</w:t>
            </w:r>
          </w:p>
          <w:p w:rsidR="00CE3634" w:rsidRPr="00CE3634" w:rsidRDefault="00CE3634" w:rsidP="00CE3634">
            <w:pPr>
              <w:rPr>
                <w:rFonts w:ascii="Times New Roman" w:hAnsi="Times New Roman" w:cs="Times New Roman"/>
                <w:lang w:eastAsia="pl-PL"/>
              </w:rPr>
            </w:pPr>
            <w:r w:rsidRPr="00CE3634">
              <w:rPr>
                <w:rFonts w:ascii="Times New Roman" w:hAnsi="Times New Roman" w:cs="Times New Roman"/>
                <w:lang w:eastAsia="pl-PL"/>
              </w:rPr>
              <w:t>36 m-</w:t>
            </w:r>
            <w:proofErr w:type="spellStart"/>
            <w:r w:rsidRPr="00CE3634">
              <w:rPr>
                <w:rFonts w:ascii="Times New Roman" w:hAnsi="Times New Roman" w:cs="Times New Roman"/>
                <w:lang w:eastAsia="pl-PL"/>
              </w:rPr>
              <w:t>cy</w:t>
            </w:r>
            <w:proofErr w:type="spellEnd"/>
            <w:r w:rsidRPr="00CE3634">
              <w:rPr>
                <w:rFonts w:ascii="Times New Roman" w:hAnsi="Times New Roman" w:cs="Times New Roman"/>
                <w:lang w:eastAsia="pl-PL"/>
              </w:rPr>
              <w:t>- 20 pkt</w:t>
            </w:r>
          </w:p>
          <w:p w:rsidR="00CE3634" w:rsidRPr="00CE3634" w:rsidRDefault="00CE3634" w:rsidP="00CE363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E3634">
              <w:rPr>
                <w:rFonts w:ascii="Times New Roman" w:hAnsi="Times New Roman" w:cs="Times New Roman"/>
                <w:lang w:eastAsia="pl-PL"/>
              </w:rPr>
              <w:t>48 m-</w:t>
            </w:r>
            <w:proofErr w:type="spellStart"/>
            <w:r w:rsidRPr="00CE3634">
              <w:rPr>
                <w:rFonts w:ascii="Times New Roman" w:hAnsi="Times New Roman" w:cs="Times New Roman"/>
                <w:lang w:eastAsia="pl-PL"/>
              </w:rPr>
              <w:t>cy</w:t>
            </w:r>
            <w:proofErr w:type="spellEnd"/>
            <w:r w:rsidRPr="00CE3634">
              <w:rPr>
                <w:rFonts w:ascii="Times New Roman" w:hAnsi="Times New Roman" w:cs="Times New Roman"/>
                <w:lang w:eastAsia="pl-PL"/>
              </w:rPr>
              <w:t>– 40 pkt</w:t>
            </w:r>
          </w:p>
        </w:tc>
        <w:tc>
          <w:tcPr>
            <w:tcW w:w="1287" w:type="pct"/>
          </w:tcPr>
          <w:p w:rsidR="00CE3634" w:rsidRPr="00CE3634" w:rsidRDefault="00CE3634" w:rsidP="00CE3634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F349E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Maksymalny czas usunięcia usterki  od momentu zdiagnozowania, gdy zachodzi konieczność </w:t>
            </w:r>
            <w:r w:rsidRPr="00F9729D">
              <w:rPr>
                <w:rFonts w:ascii="Times New Roman" w:hAnsi="Times New Roman" w:cs="Times New Roman"/>
              </w:rPr>
              <w:lastRenderedPageBreak/>
              <w:t>sprowadzania części zamiennych 10 dni wyłączając dni wolne ustawowo od pracy.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F349E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naprawy gwarancyjnej przedłużający okres gwarancji liczony od momentu zgłoszenia.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Minimalna liczba napraw powodująca wymianę podzespołu na nowy 3-naprawy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usunięcia usterki nie wymagający wymiany podzespołów nie wliczając godzin zawartych w dniach ustawowo wolnych max 48 godzin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Autoryzowany serwis gwarancyjny i pogwarancyjny w tym ich lokalizacja, wykaz punktów serwisowych, (Proszę podać lub wskazać na odpowiedni dokument załączony do oferty)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Adres najbliższego serwisu Proszę podać lub wskazać na odpowiedni dokument załączony do oferty)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Numer telefonu i faksu na który mają być zgłaszane awarie (Proszę podać lub wskazać na odpowiedni dokument załączony do oferty)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F9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6" w:type="pct"/>
            <w:shd w:val="clear" w:color="auto" w:fill="FFFFFF"/>
            <w:hideMark/>
          </w:tcPr>
          <w:p w:rsidR="00CB25F9" w:rsidRPr="00F9729D" w:rsidRDefault="00CB25F9" w:rsidP="00CB2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912" w:type="pct"/>
            <w:shd w:val="clear" w:color="auto" w:fill="FFFFFF"/>
          </w:tcPr>
          <w:p w:rsidR="00CB25F9" w:rsidRDefault="00CB25F9" w:rsidP="00CB25F9">
            <w:pPr>
              <w:jc w:val="center"/>
            </w:pPr>
            <w:r w:rsidRPr="007D08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87" w:type="pct"/>
          </w:tcPr>
          <w:p w:rsidR="00CB25F9" w:rsidRPr="00F9729D" w:rsidRDefault="00CB25F9" w:rsidP="00CB2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634" w:rsidRPr="00F9729D" w:rsidTr="00CE3634">
        <w:trPr>
          <w:trHeight w:val="152"/>
        </w:trPr>
        <w:tc>
          <w:tcPr>
            <w:tcW w:w="3713" w:type="pct"/>
            <w:gridSpan w:val="3"/>
            <w:shd w:val="clear" w:color="auto" w:fill="FFFFFF"/>
          </w:tcPr>
          <w:p w:rsidR="00CE3634" w:rsidRPr="00F9729D" w:rsidRDefault="00CE3634" w:rsidP="00C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  <w:b/>
                <w:bCs/>
              </w:rPr>
              <w:t>Serwis pogwarancyjny</w:t>
            </w:r>
          </w:p>
        </w:tc>
        <w:tc>
          <w:tcPr>
            <w:tcW w:w="1287" w:type="pct"/>
          </w:tcPr>
          <w:p w:rsidR="00CE3634" w:rsidRPr="00F9729D" w:rsidRDefault="00CE3634" w:rsidP="00CE3634"/>
        </w:tc>
      </w:tr>
      <w:tr w:rsidR="00CE3634" w:rsidRPr="00F9729D" w:rsidTr="00CE3634">
        <w:trPr>
          <w:trHeight w:val="152"/>
        </w:trPr>
        <w:tc>
          <w:tcPr>
            <w:tcW w:w="225" w:type="pct"/>
            <w:shd w:val="clear" w:color="auto" w:fill="FFFFFF"/>
            <w:hideMark/>
          </w:tcPr>
          <w:p w:rsidR="00CE3634" w:rsidRPr="00F9729D" w:rsidRDefault="00CE3634" w:rsidP="00C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pct"/>
            <w:shd w:val="clear" w:color="auto" w:fill="FFFFFF"/>
            <w:hideMark/>
          </w:tcPr>
          <w:p w:rsidR="00CE3634" w:rsidRPr="00F9729D" w:rsidRDefault="00CE3634" w:rsidP="00CE3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29D">
              <w:rPr>
                <w:rFonts w:ascii="Times New Roman" w:hAnsi="Times New Roman" w:cs="Times New Roman"/>
              </w:rPr>
              <w:t>Czas reakcji serwisu od momentu zgłoszenia usterki odrębnym zleceniem min. 48godzin</w:t>
            </w:r>
          </w:p>
        </w:tc>
        <w:tc>
          <w:tcPr>
            <w:tcW w:w="912" w:type="pct"/>
            <w:shd w:val="clear" w:color="auto" w:fill="FFFFFF"/>
            <w:hideMark/>
          </w:tcPr>
          <w:p w:rsidR="00CE3634" w:rsidRPr="00F9729D" w:rsidRDefault="00CB25F9" w:rsidP="00C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bookmarkStart w:id="0" w:name="_GoBack"/>
            <w:bookmarkEnd w:id="0"/>
          </w:p>
        </w:tc>
        <w:tc>
          <w:tcPr>
            <w:tcW w:w="1287" w:type="pct"/>
          </w:tcPr>
          <w:p w:rsidR="00CE3634" w:rsidRPr="00F9729D" w:rsidRDefault="00CE3634" w:rsidP="00CE3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634" w:rsidRDefault="00CE3634" w:rsidP="00CC6FE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C6FE7" w:rsidRPr="00F9729D" w:rsidRDefault="00CC6FE7" w:rsidP="00CC6FE7">
      <w:pPr>
        <w:jc w:val="right"/>
        <w:rPr>
          <w:rFonts w:ascii="Times New Roman" w:hAnsi="Times New Roman" w:cs="Times New Roman"/>
        </w:rPr>
      </w:pPr>
      <w:r w:rsidRPr="00F9729D">
        <w:rPr>
          <w:rFonts w:ascii="Times New Roman" w:hAnsi="Times New Roman" w:cs="Times New Roman"/>
        </w:rPr>
        <w:t>……………………………………………………</w:t>
      </w:r>
    </w:p>
    <w:p w:rsidR="00CC6FE7" w:rsidRPr="00F9729D" w:rsidRDefault="00CC6FE7" w:rsidP="00CC6F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29D">
        <w:rPr>
          <w:rFonts w:ascii="Times New Roman" w:hAnsi="Times New Roman" w:cs="Times New Roman"/>
        </w:rPr>
        <w:t xml:space="preserve">Pieczęć i podpis osoby uprawnionej </w:t>
      </w:r>
    </w:p>
    <w:p w:rsidR="006353D3" w:rsidRPr="00F9729D" w:rsidRDefault="00CC6FE7" w:rsidP="00F972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29D">
        <w:rPr>
          <w:rFonts w:ascii="Times New Roman" w:hAnsi="Times New Roman" w:cs="Times New Roman"/>
        </w:rPr>
        <w:t xml:space="preserve">do reprezentowania Wykonawcy </w:t>
      </w:r>
    </w:p>
    <w:sectPr w:rsidR="006353D3" w:rsidRPr="00F97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36" w:rsidRDefault="00652036" w:rsidP="009D5E67">
      <w:pPr>
        <w:spacing w:after="0" w:line="240" w:lineRule="auto"/>
      </w:pPr>
      <w:r>
        <w:separator/>
      </w:r>
    </w:p>
  </w:endnote>
  <w:endnote w:type="continuationSeparator" w:id="0">
    <w:p w:rsidR="00652036" w:rsidRDefault="00652036" w:rsidP="009D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C6" w:rsidRDefault="00D37CC6">
    <w:pPr>
      <w:pStyle w:val="Stopka"/>
      <w:jc w:val="center"/>
      <w:rPr>
        <w:caps/>
        <w:color w:val="5B9BD5" w:themeColor="accent1"/>
      </w:rPr>
    </w:pPr>
  </w:p>
  <w:p w:rsidR="00D37CC6" w:rsidRDefault="00D37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36" w:rsidRDefault="00652036" w:rsidP="009D5E67">
      <w:pPr>
        <w:spacing w:after="0" w:line="240" w:lineRule="auto"/>
      </w:pPr>
      <w:r>
        <w:separator/>
      </w:r>
    </w:p>
  </w:footnote>
  <w:footnote w:type="continuationSeparator" w:id="0">
    <w:p w:rsidR="00652036" w:rsidRDefault="00652036" w:rsidP="009D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81" w:rsidRDefault="00531D81">
    <w:pPr>
      <w:pStyle w:val="Nagwek"/>
    </w:pPr>
    <w:r>
      <w:rPr>
        <w:noProof/>
        <w:lang w:eastAsia="pl-PL"/>
      </w:rPr>
      <w:drawing>
        <wp:inline distT="0" distB="0" distL="0" distR="0" wp14:anchorId="359E199C" wp14:editId="0D493FC8">
          <wp:extent cx="5734050" cy="40640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525F"/>
    <w:multiLevelType w:val="hybridMultilevel"/>
    <w:tmpl w:val="BBB0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0A7"/>
    <w:multiLevelType w:val="hybridMultilevel"/>
    <w:tmpl w:val="5680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0476"/>
    <w:multiLevelType w:val="hybridMultilevel"/>
    <w:tmpl w:val="B5F6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723"/>
    <w:multiLevelType w:val="hybridMultilevel"/>
    <w:tmpl w:val="B90E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0F2"/>
    <w:multiLevelType w:val="hybridMultilevel"/>
    <w:tmpl w:val="D7DC9C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7BC"/>
    <w:multiLevelType w:val="hybridMultilevel"/>
    <w:tmpl w:val="7DEC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22F0"/>
    <w:multiLevelType w:val="hybridMultilevel"/>
    <w:tmpl w:val="0B3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0F86"/>
    <w:multiLevelType w:val="hybridMultilevel"/>
    <w:tmpl w:val="4F3A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B26C6"/>
    <w:multiLevelType w:val="hybridMultilevel"/>
    <w:tmpl w:val="7DEC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46665"/>
    <w:multiLevelType w:val="hybridMultilevel"/>
    <w:tmpl w:val="4582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56"/>
    <w:rsid w:val="00004A3D"/>
    <w:rsid w:val="00061D52"/>
    <w:rsid w:val="000B3485"/>
    <w:rsid w:val="000D6DCE"/>
    <w:rsid w:val="00122351"/>
    <w:rsid w:val="00134F0D"/>
    <w:rsid w:val="00171426"/>
    <w:rsid w:val="001F5011"/>
    <w:rsid w:val="00215749"/>
    <w:rsid w:val="00294CAB"/>
    <w:rsid w:val="00330CC9"/>
    <w:rsid w:val="00335753"/>
    <w:rsid w:val="003477A7"/>
    <w:rsid w:val="00385F9A"/>
    <w:rsid w:val="003E7FCF"/>
    <w:rsid w:val="00443013"/>
    <w:rsid w:val="00490570"/>
    <w:rsid w:val="004D626F"/>
    <w:rsid w:val="005171CF"/>
    <w:rsid w:val="00531D81"/>
    <w:rsid w:val="005974ED"/>
    <w:rsid w:val="005D3C0F"/>
    <w:rsid w:val="006353D3"/>
    <w:rsid w:val="00651A23"/>
    <w:rsid w:val="00652036"/>
    <w:rsid w:val="006E0771"/>
    <w:rsid w:val="007372BD"/>
    <w:rsid w:val="00765F28"/>
    <w:rsid w:val="00784BFF"/>
    <w:rsid w:val="00791401"/>
    <w:rsid w:val="007D2EDD"/>
    <w:rsid w:val="007D48E8"/>
    <w:rsid w:val="00810871"/>
    <w:rsid w:val="008E2F42"/>
    <w:rsid w:val="00955EB6"/>
    <w:rsid w:val="009979F0"/>
    <w:rsid w:val="009D5E67"/>
    <w:rsid w:val="00B13218"/>
    <w:rsid w:val="00B43F0F"/>
    <w:rsid w:val="00B44E56"/>
    <w:rsid w:val="00B81916"/>
    <w:rsid w:val="00B84C16"/>
    <w:rsid w:val="00C84C1F"/>
    <w:rsid w:val="00C86410"/>
    <w:rsid w:val="00CB25F9"/>
    <w:rsid w:val="00CC6FE7"/>
    <w:rsid w:val="00CE3634"/>
    <w:rsid w:val="00D341B0"/>
    <w:rsid w:val="00D37CC6"/>
    <w:rsid w:val="00D81713"/>
    <w:rsid w:val="00DA2A50"/>
    <w:rsid w:val="00DD557F"/>
    <w:rsid w:val="00EC7AA8"/>
    <w:rsid w:val="00ED7611"/>
    <w:rsid w:val="00F25948"/>
    <w:rsid w:val="00F76D22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0883-93A9-49C2-95F0-2FE45CF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E67"/>
  </w:style>
  <w:style w:type="paragraph" w:styleId="Stopka">
    <w:name w:val="footer"/>
    <w:basedOn w:val="Normalny"/>
    <w:link w:val="StopkaZnak"/>
    <w:uiPriority w:val="99"/>
    <w:unhideWhenUsed/>
    <w:rsid w:val="009D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E67"/>
  </w:style>
  <w:style w:type="paragraph" w:styleId="Tekstdymka">
    <w:name w:val="Balloon Text"/>
    <w:basedOn w:val="Normalny"/>
    <w:link w:val="TekstdymkaZnak"/>
    <w:uiPriority w:val="99"/>
    <w:semiHidden/>
    <w:unhideWhenUsed/>
    <w:rsid w:val="009D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7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CC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2019-02-06T11:40:00Z</cp:lastPrinted>
  <dcterms:created xsi:type="dcterms:W3CDTF">2019-02-06T07:23:00Z</dcterms:created>
  <dcterms:modified xsi:type="dcterms:W3CDTF">2019-02-06T11:40:00Z</dcterms:modified>
</cp:coreProperties>
</file>